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8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485B18" w:rsidRPr="00485B18" w:rsidRDefault="005456F8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05.07.2019г</w:t>
      </w:r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3903"/>
        <w:gridCol w:w="11407"/>
      </w:tblGrid>
      <w:tr w:rsidR="00485B18" w:rsidRPr="00A61F39" w:rsidTr="00240E93">
        <w:tc>
          <w:tcPr>
            <w:tcW w:w="3903" w:type="dxa"/>
            <w:shd w:val="clear" w:color="auto" w:fill="auto"/>
          </w:tcPr>
          <w:p w:rsidR="00485B18" w:rsidRPr="00A61F39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407" w:type="dxa"/>
            <w:shd w:val="clear" w:color="auto" w:fill="auto"/>
          </w:tcPr>
          <w:p w:rsidR="00485B18" w:rsidRPr="00A61F39" w:rsidRDefault="00485B1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A61F39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>» на 2016 – 202</w:t>
            </w:r>
            <w:r w:rsidR="00497E5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6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</w:tr>
    </w:tbl>
    <w:p w:rsidR="00485B18" w:rsidRPr="00A61F39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03"/>
        <w:gridCol w:w="425"/>
        <w:gridCol w:w="2694"/>
        <w:gridCol w:w="992"/>
        <w:gridCol w:w="1559"/>
        <w:gridCol w:w="1418"/>
        <w:gridCol w:w="1559"/>
        <w:gridCol w:w="1417"/>
        <w:gridCol w:w="1134"/>
        <w:gridCol w:w="1276"/>
        <w:gridCol w:w="1843"/>
      </w:tblGrid>
      <w:tr w:rsidR="00485B18" w:rsidRPr="00A61F39" w:rsidTr="00A61F39">
        <w:trPr>
          <w:trHeight w:val="20"/>
          <w:tblHeader/>
        </w:trPr>
        <w:tc>
          <w:tcPr>
            <w:tcW w:w="993" w:type="dxa"/>
            <w:gridSpan w:val="2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4536" w:type="dxa"/>
            <w:gridSpan w:val="3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плана на отчетный год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(снижения) к уровню прошлого года, %</w:t>
            </w: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485B18" w:rsidRPr="00A61F39" w:rsidTr="00A61F39">
        <w:trPr>
          <w:trHeight w:val="356"/>
          <w:tblHeader/>
        </w:trPr>
        <w:tc>
          <w:tcPr>
            <w:tcW w:w="993" w:type="dxa"/>
            <w:gridSpan w:val="2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за год, предшествующий отчетному году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на конец отчетного периода, нарастающим итогом</w:t>
            </w: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A61F39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3" w:type="dxa"/>
            <w:noWrap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490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2" w:type="dxa"/>
            <w:gridSpan w:val="9"/>
            <w:vAlign w:val="center"/>
          </w:tcPr>
          <w:p w:rsidR="00485B18" w:rsidRPr="00240E93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40E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Киясовский район</w:t>
            </w:r>
            <w:r w:rsidRPr="0024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на 2016 – 2020 гг.</w:t>
            </w:r>
          </w:p>
        </w:tc>
      </w:tr>
      <w:tr w:rsidR="004342C3" w:rsidRPr="00485B18" w:rsidTr="004342C3">
        <w:trPr>
          <w:trHeight w:val="839"/>
        </w:trPr>
        <w:tc>
          <w:tcPr>
            <w:tcW w:w="490" w:type="dxa"/>
            <w:vMerge w:val="restart"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впервые зарегистрированных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 тыс. человек населения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чел./</w:t>
            </w:r>
          </w:p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тыс. населения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0,002 – 0,002</w:t>
            </w:r>
          </w:p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6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пациентов, включенных в реабилитационные программы, по отношению к общему числу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наркопотребителей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обратившихся за наркологической помощью (ведомственная отчетность БУЗ УР «Киясовская РБ МЗ УР»)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1698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больных наркоманией, прошедших лечение и реабилитацию, длительность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ремиссии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которых составляет не менее 2 лет (ведомственная отчетность БУЗ УР «Киясовская РБ МЗ УР»)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tabs>
                <w:tab w:val="left" w:pos="294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3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</w:p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выявленных преступлений, связанных с незаконным оборотом наркотических средств (ведомственная отчетность отделения МВД России по </w:t>
            </w:r>
            <w:r w:rsidRPr="00CE1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Киясовскому району)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7 (2)</w:t>
            </w:r>
          </w:p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публичных мероприятий, направленных на профилактику наркомании среди населения района (ведомственная отчетность Управления по культуре, делам молодежи,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165  (220)</w:t>
            </w:r>
          </w:p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139%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  <w:r w:rsidRPr="002717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</w:tcPr>
          <w:p w:rsidR="004342C3" w:rsidRPr="00B463C9" w:rsidRDefault="004342C3" w:rsidP="00E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молодёжи, охваченных профилактическими мероприятиями, по отношению к общей численности указанной категории (ведомственная отчетность Отдела по делам молодежи Управления по культуре, делам молодёжи, спорту и туризму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75(3134)</w:t>
            </w:r>
          </w:p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88 %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78,7%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42C3" w:rsidRPr="00485B18" w:rsidTr="004342C3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</w:tcPr>
          <w:p w:rsidR="004342C3" w:rsidRPr="00B463C9" w:rsidRDefault="004342C3" w:rsidP="00E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63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 заинтересованных ведомств, обученных по вопросам профилактики наркомании (ведомственная отчетность Управления образования Администрации МО «Киясовский район»)</w:t>
            </w:r>
          </w:p>
        </w:tc>
        <w:tc>
          <w:tcPr>
            <w:tcW w:w="992" w:type="dxa"/>
            <w:noWrap/>
            <w:hideMark/>
          </w:tcPr>
          <w:p w:rsidR="004342C3" w:rsidRPr="00485B18" w:rsidRDefault="004342C3" w:rsidP="00E3622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59" w:type="dxa"/>
            <w:noWrap/>
            <w:hideMark/>
          </w:tcPr>
          <w:p w:rsidR="004342C3" w:rsidRPr="004342C3" w:rsidRDefault="004342C3" w:rsidP="004342C3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C3">
              <w:rPr>
                <w:rFonts w:ascii="Times New Roman" w:hAnsi="Times New Roman" w:cs="Times New Roman"/>
                <w:sz w:val="18"/>
                <w:szCs w:val="18"/>
              </w:rPr>
              <w:t>6 (4) 66 %</w:t>
            </w:r>
          </w:p>
        </w:tc>
        <w:tc>
          <w:tcPr>
            <w:tcW w:w="1418" w:type="dxa"/>
            <w:noWrap/>
            <w:hideMark/>
          </w:tcPr>
          <w:p w:rsidR="004342C3" w:rsidRPr="00E36221" w:rsidRDefault="004342C3" w:rsidP="00E3622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</w:tcPr>
          <w:p w:rsidR="004342C3" w:rsidRPr="00E36221" w:rsidRDefault="004342C3" w:rsidP="00E36221">
            <w:pPr>
              <w:rPr>
                <w:rFonts w:ascii="Times New Roman" w:hAnsi="Times New Roman" w:cs="Times New Roman"/>
              </w:rPr>
            </w:pPr>
            <w:r w:rsidRPr="00E36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276" w:type="dxa"/>
            <w:noWrap/>
            <w:vAlign w:val="center"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342C3" w:rsidRPr="00485B18" w:rsidRDefault="004342C3" w:rsidP="00E3622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71793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textWrapping" w:clear="all"/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</w:t>
      </w:r>
      <w:hyperlink r:id="rId10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B18" w:rsidRPr="00485B18" w:rsidRDefault="005456F8" w:rsidP="00240E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="0024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05.07.2019г.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3686"/>
        <w:gridCol w:w="11623"/>
      </w:tblGrid>
      <w:tr w:rsidR="00485B18" w:rsidRPr="00485B18" w:rsidTr="00240E93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:rsidR="00485B18" w:rsidRPr="00485B18" w:rsidRDefault="00485B1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</w:t>
            </w:r>
            <w:r w:rsidR="00497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41"/>
        <w:gridCol w:w="2446"/>
        <w:gridCol w:w="1761"/>
        <w:gridCol w:w="1459"/>
        <w:gridCol w:w="1206"/>
        <w:gridCol w:w="2143"/>
        <w:gridCol w:w="3354"/>
        <w:gridCol w:w="2126"/>
      </w:tblGrid>
      <w:tr w:rsidR="00485B18" w:rsidRPr="00485B18" w:rsidTr="002B3A5E">
        <w:trPr>
          <w:trHeight w:val="20"/>
        </w:trPr>
        <w:tc>
          <w:tcPr>
            <w:tcW w:w="1807" w:type="dxa"/>
            <w:gridSpan w:val="4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6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программы,                                                основного мероприятия,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1761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459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143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3354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Достигнутый результат на конец отчетного периода</w:t>
            </w:r>
          </w:p>
        </w:tc>
        <w:tc>
          <w:tcPr>
            <w:tcW w:w="2126" w:type="dxa"/>
            <w:vMerge w:val="restart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МП</w:t>
            </w:r>
          </w:p>
        </w:tc>
        <w:tc>
          <w:tcPr>
            <w:tcW w:w="418" w:type="dxa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41" w:type="dxa"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46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 наркомании </w:t>
            </w:r>
            <w:proofErr w:type="spellStart"/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наркомании</w:t>
            </w:r>
            <w:proofErr w:type="spellEnd"/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, развитие и укрепление системы  межведомственного взаимодействия 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Январь - февраль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наркоситуации в районе с целью принятия необходимых мер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 мониторинг, ситуация стабильная, на оперативном учете в отделении ОВД по Киясовскому району состоит 21 лицо, на учетах в ЦРБ 11 наркозависимых.  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деятельности районной Антинаркотической комиссии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Координация деятельности субъектов системы профилактики, ведущих антинаркотическую деятельность  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Координация осуществляется, в 201</w:t>
            </w:r>
            <w:r w:rsidR="004342C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485B1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г. проведено </w:t>
            </w:r>
            <w:r w:rsidR="004342C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заседания  комиссии</w:t>
            </w:r>
            <w:r w:rsidR="004342C3">
              <w:rPr>
                <w:rFonts w:ascii="Times New Roman" w:eastAsia="Calibri" w:hAnsi="Times New Roman" w:cs="Times New Roman"/>
                <w:sz w:val="18"/>
                <w:szCs w:val="18"/>
              </w:rPr>
              <w:t>: 21.03, 30.05</w:t>
            </w: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50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0E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семинаров, совещаний,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круглых столов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 вопросам противодействия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злоупотребелению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наркотическими средствами и психотропными веществами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нтинаркотическая комиссия, субъекты системы профилактики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специалистов, занимающихся профилактикой наркомании с целью организации ими эффективной работы</w:t>
            </w:r>
          </w:p>
        </w:tc>
        <w:tc>
          <w:tcPr>
            <w:tcW w:w="3354" w:type="dxa"/>
            <w:noWrap/>
            <w:hideMark/>
          </w:tcPr>
          <w:p w:rsidR="00675E93" w:rsidRPr="00675E93" w:rsidRDefault="002B3A5E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Лекций</w:t>
            </w:r>
            <w:r w:rsidR="00675E93" w:rsidRPr="00675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бесед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485B18" w:rsidRPr="00485B18" w:rsidRDefault="00485B18" w:rsidP="002B3A5E">
            <w:pPr>
              <w:tabs>
                <w:tab w:val="left" w:pos="567"/>
                <w:tab w:val="left" w:pos="420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Сбор и анализ критериев оценки антинаркотической деятельности субъектов системы профилактики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Антинаркотическая комиссия, субъекты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системы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фактической обстановки по </w:t>
            </w: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нркоситуации</w:t>
            </w:r>
            <w:proofErr w:type="spellEnd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районе, принятие мер для снижения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2B3A5E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Работа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горячей линии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тематическим вопросам с участием специалистов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Антинаркотическая комиссия, Отделение МВД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России по Киясовскому району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март,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Март, ноябрь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фактов и мест  продажи наркотиков, адресов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притонов, где употребляют наркотики, мест  произрастания и продажи наркосодержащих растений мака и конопли   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752DB0" w:rsidRDefault="00752DB0" w:rsidP="004B76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рамках проведении Общероссийской антинаркотической акции «Сообщи, где 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торгуют смертью!» в Киясовском районе в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этап)  организована работа телефонных линий в Управлении по культуре, делам молодежи, спорту и туризму Администрация МО «Киясовский район», Отделении МВД России по Киясовскому району, Управлении образования Администрация МО «Киясовский район» составлены графики дежу</w:t>
            </w:r>
            <w:proofErr w:type="gramStart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рств сп</w:t>
            </w:r>
            <w:proofErr w:type="gramEnd"/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ециалистов. За период работы телефонной линии вопросов по лечению и реабилитации лиц, сообщений по фактам реализации наркотических средств от  населения не поступ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52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ло.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и проведение районных оперативно-профилактических операций в рамках республиканских: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поступления в незаконный оборот наркотических средств растительного происхождения;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Допинг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выявлению источников и перекрытию каналов поступления в незаконный оборот лекарственных наркотических средств и психотропных веществ;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Канал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пресечению незаконного перемещения наркотических и психотропных веществ;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проведение иных плановых мероприятий по обнаружению незаконных посевов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наркокультур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 уничтожению очагов произрастания дикорастущей конопли, по выявлению, правонарушений в системе легального оборота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наркотиков, перекрытию каналов их утечки, выявлению и ликвидации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пресечению незаконного перемещения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Отделение МВД России по Киясовскому району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 сентябрь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правонарушений, связных с незаконным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оборотом наркотических средств, 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B76F3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Акции проводятся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2B13B6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 акции    проводятся,  выявлено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91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</w:t>
            </w:r>
            <w:r w:rsidR="00174E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дан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B1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уничтожению конопли 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2B1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МО.  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Своевременное информирование учреждений здравоохранения района о потребителях наркотических средств, совершивших преступления и правонарушения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Усиление межведомственного сотрудничества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 с целью организации эффективной работы, принятия своевременных мер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проводится, организуются ночные рейды, 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– отделение МВД, 2 – УИИ,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 не выявлены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4E90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Обучение специалистов, осуществляющих деятельность в сфере профилактики наркомании и ведущих борьбу с незаконным оборотом наркотиков  знаниям в области наркологии, в том числе с выездом на республиканские семинары для изучения форм и методов работы.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ОДМ,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профессионализма специалистов;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профилактике потребления наркотических средств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</w:t>
            </w:r>
            <w:r w:rsidR="004B7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  <w:r w:rsidR="004B7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Обеспечение снижения доступности наркотических средств и психотропных веще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ств дл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я незаконного потребления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работы по 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,Р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Выявлению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наркопритонов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лиц, употребляющих наркотики в немедицинских целях,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целью принятия необходимых и своевременных мер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проводится, правонарушения не выявлены.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деятельностью юридических лиц, осуществляющих в соответствии с действующим законодательством РФ виды деятельности, связанные с оборотом наркотических средств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СМО ФСКН по УР, ОП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мероприятий  по установлению мест произрастания наркосодержащих дикорастущих растений,  уничтожению таких очагов в целях противодействия незаконному  обороту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МО-поселения района, с/х предприятия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май-октябрь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Уничтожение очагов произрастания наркосодержащих дикорастущих растений в целях противодействия незаконному  обороту наркотиков</w:t>
            </w:r>
          </w:p>
        </w:tc>
        <w:tc>
          <w:tcPr>
            <w:tcW w:w="3354" w:type="dxa"/>
            <w:noWrap/>
            <w:hideMark/>
          </w:tcPr>
          <w:p w:rsidR="00485B18" w:rsidRPr="00C01316" w:rsidRDefault="004B76F3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Принимаются</w:t>
            </w:r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уничтожению дикорастущих растений, содержащих наркотические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территориях (</w:t>
            </w:r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СПК им. Суворова, с. Ильдибаево, ООО АК «Киясовский» с. Подгорное, ООО «</w:t>
            </w:r>
            <w:proofErr w:type="spellStart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Экодеревня</w:t>
            </w:r>
            <w:proofErr w:type="spellEnd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Дубровское</w:t>
            </w:r>
            <w:proofErr w:type="spellEnd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д. </w:t>
            </w:r>
            <w:proofErr w:type="spellStart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Лутоха</w:t>
            </w:r>
            <w:proofErr w:type="spellEnd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Калашур</w:t>
            </w:r>
            <w:proofErr w:type="spellEnd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Сабанчино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 «Ермолаевское»</w:t>
            </w:r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</w:t>
            </w:r>
            <w:r w:rsidR="00D60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D55CE" w:rsidRPr="00C01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физическим лицам.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noWrap/>
            <w:hideMark/>
          </w:tcPr>
          <w:p w:rsidR="00485B18" w:rsidRPr="00485B18" w:rsidRDefault="006771B6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Совершенствование системы выявления, лечения и реабилитации лиц, употребляющих наркотики без назначения врача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Анкетирование учащихся школ и молодежи по антинаркотической тематике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ОДМ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наркоситуации в общеобразовательных учреждениях, предупреждение незаконного употребления наркотиков школьниками, 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их сознательности.    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5B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76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периодических медицинских осмотров несовершеннолетних при поступлении и прохождении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обучения в образовательной организации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 - июнь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детей, склонных к употреблению наркотических средств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Медосмотры  проводятся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графика</w:t>
            </w:r>
            <w:proofErr w:type="gramEnd"/>
            <w:r w:rsidR="000D28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0D2807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Добровольное обследование учащихся школ на предмет употребления наркотических и психотропных веществ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детей,   употребляющих наркотические средства 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проведено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Наркологическая медицинская помощь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оказания медицинской помощи больным наркоманией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квалифицированной медицинской помощи больным наркоманией;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D605E9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чел.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Реабилитация и ресоциализация больных наркоманией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Направление больных на лечение в Республиканский наркологический диспансер, центр реабилитации для несовершеннолетних, злоупотребляющих наркотическими веществами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квалифицированной медицинской помощи больным наркоманией 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876E21" w:rsidRPr="00876E21" w:rsidRDefault="004B76F3" w:rsidP="002B3A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Информирование населения о возможностях получения реабилитационной помощи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профилактики,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возможностях получения реабилитационной помощи 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проводится как непосредственно специалистами, так и через СМИ и социальные сети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поддержки родственников лиц, потребляющих наркотики в немедицинских целях, с целью оказания психологической, правовой и консультационной поддержки в области социальной реабилитации лиц, допускающих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немедицинское применение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члены Антинаркотической комиссии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Оказание психологической, правовой и консультационной поддержки родственникам лиц, злоупотребляющих наркотическими средствами 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осуществляется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Отработка системы информационного обмена по лицам, проживающим на территории района, прошедшим лечение и медицинскую реабилитацию в Республиканском наркологическом центре, и нуждающимся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</w:t>
            </w:r>
            <w:proofErr w:type="gram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дальнейшей ресоциализации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Отлаженность работы при межведомственном сотрудничестве субъектов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Состоят на учете, за ними ведется наблюдение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Оказание услуг лицам, прошедшим лечение, по восстановлению трудовых навыков, трудоустройства и обучения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Киясовский Центр занятости населения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и обучение лиц, прошедших реабилитацию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ЦЗН не обращались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Организация районных мероприятий, организация участия в республиканских, общероссийских, международных мероприятиях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DB11F2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11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Принятие участия в республиканских, общероссийских акциях, конкурсах антинаркотической тематики (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Сообщи, где торгуют смертью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Удмуртия против наркотиков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Дети России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 т.п.)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Субъекты </w:t>
            </w: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системы профилактики  Администрации поселений района</w:t>
            </w:r>
            <w:proofErr w:type="gramEnd"/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сфере употребления наркотиков</w:t>
            </w:r>
          </w:p>
        </w:tc>
        <w:tc>
          <w:tcPr>
            <w:tcW w:w="3354" w:type="dxa"/>
            <w:noWrap/>
            <w:hideMark/>
          </w:tcPr>
          <w:p w:rsidR="00DB11F2" w:rsidRDefault="00DB11F2" w:rsidP="002B3A5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и проведение районных мероприятий в рамках республиканских: </w:t>
            </w:r>
          </w:p>
          <w:p w:rsidR="00BE0968" w:rsidRPr="00BE0968" w:rsidRDefault="00BE0968" w:rsidP="002B3A5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Мероприятия в рамках общероссийской акции «Сообщи, где торгуют смертью»</w:t>
            </w:r>
            <w:r w:rsidR="004B76F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ar-SA"/>
              </w:rPr>
              <w:t>,</w:t>
            </w:r>
          </w:p>
          <w:p w:rsidR="00BE0968" w:rsidRDefault="00BE0968" w:rsidP="002B3A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Районная акция, посвященная Всемирному Дню здоровья</w:t>
            </w:r>
            <w:r w:rsidR="004B76F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4B76F3" w:rsidRPr="00BE0968" w:rsidRDefault="004B76F3" w:rsidP="002B3A5E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–Районная акция «белая ромашка», посвященная Дню борьбы с туберкулёзом,</w:t>
            </w:r>
          </w:p>
          <w:p w:rsidR="00485B18" w:rsidRPr="00DB11F2" w:rsidRDefault="00BE0968" w:rsidP="004B76F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96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Районная акция «Удмуртия против наркотиков!» посвященная всемирному Дню борьбы с наркоманией</w:t>
            </w:r>
            <w:r w:rsidR="00D605E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 рамках республиканской</w:t>
            </w:r>
            <w:r w:rsidR="004B76F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</w:t>
            </w:r>
            <w:r w:rsidRPr="00BE0968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Систематическое проведение  классных часов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и родительских собраний с приглашением специалистов здравоохранения и сотрудников правоохранительных органов в целях доведения до учащихся и родителей информации о вреде наркотических веществ, в том числе курительных смесей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здорового образа жизни,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профилактика правонарушений в подростковой среде, 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 проводятся во время учебного процесса, на классных часах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4B76F3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4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мероприятий по профилактике наркомании и наркопреступности среди несовершеннолетних и молодежи в летний каникулярный период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ОДМ,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ОФиС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МЦ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Ровесник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 - август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Недопущение наркопреступлений в каникулярный период среди детей и подростков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5309AF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0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летний период проводились  мероприятия во всех пришкольных  лагерях, работали программы по временному  трудоустройству подростков.  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Оформление информационных уголков, стендов по профилактике наркотической зависимости, алкоголизма, табакокурения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Образовательные организации, библиотеки района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жизни, профилактика правонарушений в детско-подростковой среде,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Информационные уголки, стенды по профилактике наркотической зависимости, алкоголизма, табакокурения оформлены в учреждениях культуры, образования,  в библиотеках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тематических показов видеофильмов по профилактике употребления психоактивных веществ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 Управление по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КМСиТ</w:t>
            </w:r>
            <w:proofErr w:type="spellEnd"/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видеороликов по профилактике ПАВ практикуется при проведении большинства тематических бесед со школьниками,  в  социальной сети ВК, на сайте ОМСУ Киясовского района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проведения мероприятий по профилактике алкоголизма, наркомании, токсикомании, пропаганде здорового образа жизни (акции, конкурсы, митинги, фестивали,  тематические вечера и дискотеки, дни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здоровья).</w:t>
            </w:r>
            <w:proofErr w:type="gramEnd"/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ОУ, ОК (учреждения культуры)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отчетный период проведено 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  <w:r w:rsidR="009D4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тематических мероприяти</w:t>
            </w:r>
            <w:r w:rsidR="00D60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литературы, оформление подписки на издания по пропаганде ЗОЖ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Центральная библиотека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о последствиях злоупотребления наркотических средств; 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Литература, буклеты, брошюры постоянно приобретаются, издания по ЗОЖ выписываются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Обеспечение работы общественных наркологических постов в образовательных учреждениях района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УО, Отделение МВД России по Киясовскому району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правопорядка;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Наркологические посты работают в МКОУ Киясовская СОШ, МКОУ Подгорновская СОШ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Проведение тестирования призывников с целью выявления лиц, злоупотребляющих наркотическими средствами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8E4D9E" w:rsidRPr="008E4D9E" w:rsidRDefault="003576B5" w:rsidP="002B3A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Тестирование </w:t>
            </w:r>
            <w:r w:rsidR="008E4D9E" w:rsidRPr="008E4D9E">
              <w:rPr>
                <w:rFonts w:ascii="Times New Roman" w:eastAsia="Calibri" w:hAnsi="Times New Roman" w:cs="Times New Roman"/>
                <w:sz w:val="18"/>
                <w:szCs w:val="18"/>
              </w:rPr>
              <w:t>не проводилось, т.к. все анализы на выявление ПАВ в биологических жидкостях проводятся централизованно в БУЗ УР «РНД МЗ УР».</w:t>
            </w:r>
          </w:p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подготовки и распространения печатной продукции антинаркотической направленности для детей, молодежи, родителей, педагогов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Субъекты системы профилактики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информированности населения по антинаркотической тематике; 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BB2C32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Разработано и распространено по району 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BB2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печатной продукции (плакаты, буклеты)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Размещение в СМИ, в том числе на Интернет - сайтах, материалов по вопросам ответственности, связанной с незаконным приобретением, хранением 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и сбытом наркотических средств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Субъекты системы профилактики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населения в деятельность по противодействию злоупотреблениям наркотическими средствами;</w:t>
            </w:r>
          </w:p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Размещено в СМИ, в соц. сетях  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20</w:t>
            </w:r>
            <w:r w:rsidR="0076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материалов 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Организация и проведение профилактических мероприятий с группами риска немедицинского потребления наркотиков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Выявление  обучающихся, склонных к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табакокурению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употреблению спиртных напитков и ПАВ, и постановка их на </w:t>
            </w:r>
            <w:proofErr w:type="spell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учет (анкетирование, беседы, тренинги, психологическое тестирование и др</w:t>
            </w:r>
            <w:proofErr w:type="gramStart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.к</w:t>
            </w:r>
            <w:proofErr w:type="gramEnd"/>
            <w:r w:rsidRPr="004E417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онсультации)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УО, БУЗ УР 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Киясовская РБ МЗ УР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- май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Default="007635E7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4E417C" w:rsidRPr="00485B18" w:rsidRDefault="004E417C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Организация рейдов в  неблагополучные семьи с целью проведения профилактической работы и выявления лиц, употребляющих </w:t>
            </w: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психоактивные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вещества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КДНиЗП</w:t>
            </w:r>
            <w:proofErr w:type="spellEnd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 Отдел семьи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полугодия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4B76F3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Организовано рейдов в</w:t>
            </w:r>
            <w:r w:rsidR="004B76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сем</w:t>
            </w:r>
            <w:r w:rsidR="00844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2B3A5E">
        <w:trPr>
          <w:trHeight w:val="20"/>
        </w:trPr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46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антинаркотической пропаганды среди лиц, состоящих на учете в учреждениях уголовно-исполнительной системы, с целью повышения уровня  их осведомленности о негативных последствиях немедицинского потребления наркотиков и об ответственности за участие в преступлениях, связанных с незаконным оборотом наркотических средств</w:t>
            </w:r>
          </w:p>
        </w:tc>
        <w:tc>
          <w:tcPr>
            <w:tcW w:w="1761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Уголовно-исполнительная инспекция  </w:t>
            </w:r>
          </w:p>
        </w:tc>
        <w:tc>
          <w:tcPr>
            <w:tcW w:w="1459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0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143" w:type="dxa"/>
            <w:noWrap/>
            <w:hideMark/>
          </w:tcPr>
          <w:p w:rsidR="00485B18" w:rsidRPr="00485B18" w:rsidRDefault="00485B18" w:rsidP="002B3A5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злоупотреблений наркотическими средствами и психотропными веществами, преступлений, связанных с незаконным оборотом наркотиков</w:t>
            </w:r>
          </w:p>
        </w:tc>
        <w:tc>
          <w:tcPr>
            <w:tcW w:w="3354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Профилактическая работа, проверка лиц проводится постоянно</w:t>
            </w:r>
          </w:p>
        </w:tc>
        <w:tc>
          <w:tcPr>
            <w:tcW w:w="2126" w:type="dxa"/>
            <w:noWrap/>
            <w:hideMark/>
          </w:tcPr>
          <w:p w:rsidR="00485B18" w:rsidRPr="00485B18" w:rsidRDefault="00485B18" w:rsidP="002B3A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4B76F3" w:rsidRPr="007A2793" w:rsidTr="005456F8">
        <w:tc>
          <w:tcPr>
            <w:tcW w:w="1242" w:type="dxa"/>
            <w:vMerge w:val="restart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Диагноз</w:t>
            </w:r>
          </w:p>
        </w:tc>
        <w:tc>
          <w:tcPr>
            <w:tcW w:w="4395" w:type="dxa"/>
            <w:gridSpan w:val="5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2018г.</w:t>
            </w:r>
          </w:p>
        </w:tc>
        <w:tc>
          <w:tcPr>
            <w:tcW w:w="4394" w:type="dxa"/>
            <w:gridSpan w:val="5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2019г.</w:t>
            </w:r>
          </w:p>
        </w:tc>
      </w:tr>
      <w:tr w:rsidR="004B76F3" w:rsidRPr="007A2793" w:rsidTr="005456F8">
        <w:tc>
          <w:tcPr>
            <w:tcW w:w="1242" w:type="dxa"/>
            <w:vMerge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Диспансерный учет</w:t>
            </w:r>
          </w:p>
        </w:tc>
        <w:tc>
          <w:tcPr>
            <w:tcW w:w="1843" w:type="dxa"/>
            <w:gridSpan w:val="2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Профилактический учет</w:t>
            </w:r>
          </w:p>
        </w:tc>
        <w:tc>
          <w:tcPr>
            <w:tcW w:w="850" w:type="dxa"/>
            <w:vMerge w:val="restart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Диспансерный учет</w:t>
            </w:r>
          </w:p>
        </w:tc>
        <w:tc>
          <w:tcPr>
            <w:tcW w:w="1843" w:type="dxa"/>
            <w:gridSpan w:val="2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Профилактический учет</w:t>
            </w:r>
          </w:p>
        </w:tc>
      </w:tr>
      <w:tr w:rsidR="004B76F3" w:rsidRPr="007A2793" w:rsidTr="005456F8">
        <w:tc>
          <w:tcPr>
            <w:tcW w:w="1242" w:type="dxa"/>
            <w:vMerge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850" w:type="dxa"/>
            <w:vMerge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i/>
                <w:sz w:val="24"/>
                <w:szCs w:val="24"/>
              </w:rPr>
              <w:t>Молодежь</w:t>
            </w:r>
          </w:p>
        </w:tc>
      </w:tr>
      <w:tr w:rsidR="004B76F3" w:rsidRPr="007A2793" w:rsidTr="005456F8">
        <w:trPr>
          <w:trHeight w:val="1023"/>
        </w:trPr>
        <w:tc>
          <w:tcPr>
            <w:tcW w:w="124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НАРКОМАНИЯ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76F3" w:rsidRPr="007A2793" w:rsidTr="005456F8">
        <w:tc>
          <w:tcPr>
            <w:tcW w:w="124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ТОКСИКОМАНИЯ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76F3" w:rsidRPr="007A2793" w:rsidTr="005456F8">
        <w:tc>
          <w:tcPr>
            <w:tcW w:w="124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АЛКОГОЛИЗМ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B76F3" w:rsidRPr="00134ECE" w:rsidRDefault="004B76F3" w:rsidP="005456F8">
            <w:pPr>
              <w:pStyle w:val="af7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E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E7" w:rsidRDefault="007635E7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97E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3. </w:t>
      </w:r>
      <w:r w:rsidRPr="00485B1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85B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Финансовая оценка применения мер муниципального регулирования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49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49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</w:t>
            </w:r>
            <w:r w:rsidR="00497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ind w:firstLine="317"/>
        <w:rPr>
          <w:rFonts w:ascii="Times New Roman" w:eastAsia="Calibri" w:hAnsi="Times New Roman" w:cs="Times New Roman"/>
          <w:sz w:val="24"/>
          <w:szCs w:val="24"/>
        </w:rPr>
      </w:pPr>
      <w:r w:rsidRPr="00485B18">
        <w:rPr>
          <w:rFonts w:ascii="Times New Roman" w:eastAsia="Calibri" w:hAnsi="Times New Roman" w:cs="Times New Roman"/>
          <w:sz w:val="24"/>
          <w:szCs w:val="24"/>
        </w:rPr>
        <w:t>В рамках  программы меры муниципального регулирования не применяются.</w:t>
      </w: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4. </w:t>
      </w:r>
      <w:hyperlink r:id="rId12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5456F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состоянию на </w:t>
      </w:r>
      <w:r w:rsidR="0049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497E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3686"/>
        <w:gridCol w:w="11198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198" w:type="dxa"/>
            <w:shd w:val="clear" w:color="auto" w:fill="auto"/>
          </w:tcPr>
          <w:p w:rsidR="00485B18" w:rsidRPr="00485B18" w:rsidRDefault="00485B1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2016 – 202</w:t>
            </w:r>
            <w:r w:rsidR="00497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</w:t>
            </w:r>
            <w:r w:rsidRPr="00485B18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программы муниципальные услуги муниципальными учреждениями не оказываются.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DA8" w:rsidRDefault="00893DA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E58" w:rsidRDefault="00497E5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1C7" w:rsidRDefault="005A51C7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5.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на реализацию муниципальной программы </w:t>
      </w:r>
    </w:p>
    <w:p w:rsidR="00485B18" w:rsidRPr="00485B18" w:rsidRDefault="005456F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history="1">
        <w:r w:rsidR="00485B18" w:rsidRPr="00485B1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«Киясовский район»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состоянию на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="00320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320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24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485B1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"/>
        <w:gridCol w:w="475"/>
        <w:gridCol w:w="430"/>
        <w:gridCol w:w="490"/>
        <w:gridCol w:w="429"/>
        <w:gridCol w:w="641"/>
        <w:gridCol w:w="1221"/>
        <w:gridCol w:w="724"/>
        <w:gridCol w:w="1762"/>
        <w:gridCol w:w="620"/>
        <w:gridCol w:w="429"/>
        <w:gridCol w:w="429"/>
        <w:gridCol w:w="1110"/>
        <w:gridCol w:w="514"/>
        <w:gridCol w:w="907"/>
        <w:gridCol w:w="992"/>
        <w:gridCol w:w="1068"/>
        <w:gridCol w:w="1084"/>
        <w:gridCol w:w="1255"/>
        <w:gridCol w:w="446"/>
      </w:tblGrid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  <w:shd w:val="clear" w:color="auto" w:fill="auto"/>
          </w:tcPr>
          <w:p w:rsidR="00320E2D" w:rsidRPr="00485B18" w:rsidRDefault="00485B1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2016 – 202</w:t>
            </w:r>
            <w:r w:rsidR="00497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гг.</w:t>
            </w:r>
          </w:p>
        </w:tc>
      </w:tr>
      <w:tr w:rsidR="00485B18" w:rsidRPr="00485B18" w:rsidTr="00EA1A00">
        <w:trPr>
          <w:gridBefore w:val="1"/>
          <w:wBefore w:w="15" w:type="dxa"/>
        </w:trPr>
        <w:tc>
          <w:tcPr>
            <w:tcW w:w="3686" w:type="dxa"/>
            <w:gridSpan w:val="6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0" w:type="dxa"/>
            <w:gridSpan w:val="13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5B18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513"/>
          <w:tblHeader/>
        </w:trPr>
        <w:tc>
          <w:tcPr>
            <w:tcW w:w="2480" w:type="dxa"/>
            <w:gridSpan w:val="6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945" w:type="dxa"/>
            <w:gridSpan w:val="2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2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02" w:type="dxa"/>
            <w:gridSpan w:val="5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306" w:type="dxa"/>
            <w:gridSpan w:val="5"/>
            <w:vAlign w:val="center"/>
            <w:hideMark/>
          </w:tcPr>
          <w:p w:rsidR="005456F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Расходы бюджета муниципального </w:t>
            </w:r>
            <w:r w:rsidR="00545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Кассовые расходы, %</w:t>
            </w:r>
          </w:p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образования, тыс. рублей</w:t>
            </w:r>
          </w:p>
        </w:tc>
      </w:tr>
      <w:tr w:rsidR="007635E7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548"/>
          <w:tblHeader/>
        </w:trPr>
        <w:tc>
          <w:tcPr>
            <w:tcW w:w="490" w:type="dxa"/>
            <w:gridSpan w:val="2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641" w:type="dxa"/>
            <w:vAlign w:val="center"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1945" w:type="dxa"/>
            <w:gridSpan w:val="2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0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14" w:type="dxa"/>
            <w:vAlign w:val="center"/>
            <w:hideMark/>
          </w:tcPr>
          <w:p w:rsidR="007635E7" w:rsidRPr="00485B18" w:rsidRDefault="007635E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907" w:type="dxa"/>
            <w:vAlign w:val="center"/>
            <w:hideMark/>
          </w:tcPr>
          <w:p w:rsidR="007635E7" w:rsidRPr="00485B18" w:rsidRDefault="005456F8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Align w:val="center"/>
            <w:hideMark/>
          </w:tcPr>
          <w:p w:rsidR="007635E7" w:rsidRPr="00485B18" w:rsidRDefault="005456F8" w:rsidP="00E362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отчетный период</w:t>
            </w:r>
          </w:p>
        </w:tc>
        <w:tc>
          <w:tcPr>
            <w:tcW w:w="1068" w:type="dxa"/>
            <w:vAlign w:val="center"/>
            <w:hideMark/>
          </w:tcPr>
          <w:p w:rsidR="007635E7" w:rsidRPr="00485B18" w:rsidRDefault="005456F8" w:rsidP="00E362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084" w:type="dxa"/>
            <w:vAlign w:val="center"/>
            <w:hideMark/>
          </w:tcPr>
          <w:p w:rsidR="007635E7" w:rsidRPr="00485B18" w:rsidRDefault="005456F8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 плану на отчетный год </w:t>
            </w:r>
          </w:p>
        </w:tc>
        <w:tc>
          <w:tcPr>
            <w:tcW w:w="1255" w:type="dxa"/>
            <w:vAlign w:val="center"/>
            <w:hideMark/>
          </w:tcPr>
          <w:p w:rsidR="007635E7" w:rsidRPr="00485B18" w:rsidRDefault="005456F8" w:rsidP="007635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плану на отчетный период</w:t>
            </w:r>
          </w:p>
        </w:tc>
      </w:tr>
      <w:tr w:rsidR="00485B18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Комплексные меры противодействия немедицинскому потреблению наркотических средств и их незаконному обороту в муниципальном образовании «Киясовский район» на 2016-2020 годы</w:t>
            </w:r>
          </w:p>
        </w:tc>
        <w:tc>
          <w:tcPr>
            <w:tcW w:w="1762" w:type="dxa"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10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907" w:type="dxa"/>
            <w:noWrap/>
            <w:hideMark/>
          </w:tcPr>
          <w:p w:rsidR="00485B18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  <w:r w:rsidR="00485B18"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,0*</w:t>
            </w:r>
          </w:p>
        </w:tc>
        <w:tc>
          <w:tcPr>
            <w:tcW w:w="992" w:type="dxa"/>
            <w:noWrap/>
            <w:hideMark/>
          </w:tcPr>
          <w:p w:rsidR="00320E2D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  <w:p w:rsidR="00320E2D" w:rsidRDefault="00320E2D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320E2D" w:rsidRDefault="00320E2D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320E2D" w:rsidRDefault="00320E2D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485B18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dxa"/>
            <w:noWrap/>
            <w:hideMark/>
          </w:tcPr>
          <w:p w:rsidR="00485B18" w:rsidRPr="00485B18" w:rsidRDefault="00320E2D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084" w:type="dxa"/>
            <w:noWrap/>
            <w:hideMark/>
          </w:tcPr>
          <w:p w:rsidR="00485B18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25%</w:t>
            </w:r>
            <w:r w:rsidR="00485B18"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55" w:type="dxa"/>
            <w:noWrap/>
            <w:hideMark/>
          </w:tcPr>
          <w:p w:rsidR="00485B18" w:rsidRPr="00485B18" w:rsidRDefault="00485B1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45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</w:tr>
      <w:tr w:rsidR="00320E2D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0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системы выявления, лечения и реабилитации лиц, употребляющих наркотики  без назначения врача</w:t>
            </w:r>
          </w:p>
        </w:tc>
        <w:tc>
          <w:tcPr>
            <w:tcW w:w="1762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7" w:type="dxa"/>
            <w:noWrap/>
          </w:tcPr>
          <w:p w:rsidR="00320E2D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992" w:type="dxa"/>
            <w:noWrap/>
          </w:tcPr>
          <w:p w:rsidR="00320E2D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68" w:type="dxa"/>
            <w:noWrap/>
          </w:tcPr>
          <w:p w:rsidR="00320E2D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84" w:type="dxa"/>
            <w:noWrap/>
          </w:tcPr>
          <w:p w:rsidR="00320E2D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bottom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0E2D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320E2D" w:rsidRPr="00485B18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  <w:vAlign w:val="center"/>
          </w:tcPr>
          <w:p w:rsidR="00320E2D" w:rsidRPr="00485B18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0" w:type="dxa"/>
            <w:noWrap/>
            <w:vAlign w:val="center"/>
          </w:tcPr>
          <w:p w:rsidR="00320E2D" w:rsidRPr="00485B18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9" w:type="dxa"/>
            <w:noWrap/>
            <w:vAlign w:val="center"/>
          </w:tcPr>
          <w:p w:rsidR="00320E2D" w:rsidRPr="00485B18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41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320E2D" w:rsidRPr="00592717" w:rsidRDefault="00592717" w:rsidP="0059271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учащихся школ и молодежи по антинаркотической тематике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7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8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4" w:type="dxa"/>
            <w:noWrap/>
            <w:vAlign w:val="bottom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20E2D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320E2D" w:rsidRPr="00485B18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30" w:type="dxa"/>
            <w:noWrap/>
            <w:vAlign w:val="center"/>
          </w:tcPr>
          <w:p w:rsidR="00320E2D" w:rsidRPr="00485B18" w:rsidRDefault="00320E2D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0" w:type="dxa"/>
            <w:noWrap/>
            <w:vAlign w:val="center"/>
          </w:tcPr>
          <w:p w:rsidR="00320E2D" w:rsidRPr="00485B18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9" w:type="dxa"/>
            <w:noWrap/>
            <w:vAlign w:val="center"/>
          </w:tcPr>
          <w:p w:rsidR="00320E2D" w:rsidRPr="00485B18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41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320E2D" w:rsidRPr="00592717" w:rsidRDefault="0059271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периодических медицинских осмотров </w:t>
            </w:r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несовершеннолетних при поступлении  и прохождении обучения в </w:t>
            </w:r>
            <w:proofErr w:type="gramStart"/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образовательной</w:t>
            </w:r>
            <w:proofErr w:type="gramEnd"/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орагнизации</w:t>
            </w:r>
            <w:proofErr w:type="spellEnd"/>
          </w:p>
        </w:tc>
        <w:tc>
          <w:tcPr>
            <w:tcW w:w="1762" w:type="dxa"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320E2D" w:rsidRPr="00485B18" w:rsidRDefault="00320E2D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noWrap/>
            <w:vAlign w:val="center"/>
          </w:tcPr>
          <w:p w:rsidR="00320E2D" w:rsidRPr="00485B18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7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8" w:type="dxa"/>
            <w:noWrap/>
          </w:tcPr>
          <w:p w:rsidR="00320E2D" w:rsidRDefault="00320E2D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4" w:type="dxa"/>
            <w:noWrap/>
            <w:vAlign w:val="bottom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320E2D" w:rsidRPr="00485B18" w:rsidRDefault="00320E2D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92717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  <w:vAlign w:val="center"/>
          </w:tcPr>
          <w:p w:rsidR="00592717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noWrap/>
            <w:vAlign w:val="center"/>
          </w:tcPr>
          <w:p w:rsidR="00592717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0" w:type="dxa"/>
            <w:noWrap/>
            <w:vAlign w:val="center"/>
          </w:tcPr>
          <w:p w:rsidR="00592717" w:rsidRDefault="00592717" w:rsidP="005456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29" w:type="dxa"/>
            <w:noWrap/>
            <w:vAlign w:val="center"/>
          </w:tcPr>
          <w:p w:rsidR="00592717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41" w:type="dxa"/>
            <w:vAlign w:val="center"/>
          </w:tcPr>
          <w:p w:rsidR="00592717" w:rsidRPr="00485B18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592717" w:rsidRPr="00592717" w:rsidRDefault="0059271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27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Добровольное обследование учащихся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 на предмет употребления наркотических и психотропных веществ</w:t>
            </w:r>
          </w:p>
        </w:tc>
        <w:tc>
          <w:tcPr>
            <w:tcW w:w="1762" w:type="dxa"/>
            <w:vAlign w:val="center"/>
          </w:tcPr>
          <w:p w:rsidR="00592717" w:rsidRPr="00485B18" w:rsidRDefault="0059271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592717" w:rsidRPr="00485B18" w:rsidRDefault="00592717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592717" w:rsidRPr="00485B18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592717" w:rsidRPr="00485B18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noWrap/>
            <w:vAlign w:val="center"/>
          </w:tcPr>
          <w:p w:rsidR="00592717" w:rsidRPr="00485B18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noWrap/>
            <w:vAlign w:val="center"/>
          </w:tcPr>
          <w:p w:rsidR="00592717" w:rsidRPr="00485B18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7" w:type="dxa"/>
            <w:noWrap/>
          </w:tcPr>
          <w:p w:rsidR="00592717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noWrap/>
          </w:tcPr>
          <w:p w:rsidR="00592717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68" w:type="dxa"/>
            <w:noWrap/>
          </w:tcPr>
          <w:p w:rsidR="00592717" w:rsidRDefault="00592717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84" w:type="dxa"/>
            <w:noWrap/>
            <w:vAlign w:val="bottom"/>
          </w:tcPr>
          <w:p w:rsidR="00592717" w:rsidRPr="00485B18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592717" w:rsidRPr="00485B18" w:rsidRDefault="00592717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7E58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1617"/>
        </w:trPr>
        <w:tc>
          <w:tcPr>
            <w:tcW w:w="490" w:type="dxa"/>
            <w:gridSpan w:val="2"/>
            <w:noWrap/>
          </w:tcPr>
          <w:p w:rsidR="00497E58" w:rsidRDefault="00497E58" w:rsidP="00497E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хх</w:t>
            </w:r>
            <w:proofErr w:type="spellEnd"/>
          </w:p>
        </w:tc>
        <w:tc>
          <w:tcPr>
            <w:tcW w:w="430" w:type="dxa"/>
            <w:noWrap/>
          </w:tcPr>
          <w:p w:rsidR="00497E58" w:rsidRDefault="00497E58" w:rsidP="00497E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0" w:type="dxa"/>
            <w:noWrap/>
          </w:tcPr>
          <w:p w:rsidR="00497E58" w:rsidRDefault="00497E58" w:rsidP="00497E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</w:tcPr>
          <w:p w:rsidR="00497E58" w:rsidRDefault="00497E58" w:rsidP="00497E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497E58" w:rsidRPr="00485B18" w:rsidRDefault="00497E58" w:rsidP="00485B1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45" w:type="dxa"/>
            <w:gridSpan w:val="2"/>
          </w:tcPr>
          <w:p w:rsidR="00497E58" w:rsidRPr="00497E58" w:rsidRDefault="00497E58" w:rsidP="00497E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целенаправленной работы по профилактике немедицинского потребления наркотиков</w:t>
            </w:r>
          </w:p>
        </w:tc>
        <w:tc>
          <w:tcPr>
            <w:tcW w:w="1762" w:type="dxa"/>
            <w:vAlign w:val="center"/>
          </w:tcPr>
          <w:p w:rsidR="00497E58" w:rsidRPr="00485B18" w:rsidRDefault="00497E5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noWrap/>
            <w:vAlign w:val="center"/>
          </w:tcPr>
          <w:p w:rsidR="00497E58" w:rsidRPr="00485B18" w:rsidRDefault="00497E5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497E58" w:rsidRPr="00485B18" w:rsidRDefault="00497E5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497E58" w:rsidRPr="00485B18" w:rsidRDefault="00497E5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10" w:type="dxa"/>
            <w:noWrap/>
            <w:vAlign w:val="center"/>
          </w:tcPr>
          <w:p w:rsidR="00497E58" w:rsidRPr="00485B18" w:rsidRDefault="00497E5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4" w:type="dxa"/>
            <w:noWrap/>
            <w:vAlign w:val="center"/>
          </w:tcPr>
          <w:p w:rsidR="00497E58" w:rsidRPr="00485B18" w:rsidRDefault="00497E5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07" w:type="dxa"/>
            <w:noWrap/>
          </w:tcPr>
          <w:p w:rsidR="00497E5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10,0</w:t>
            </w:r>
          </w:p>
          <w:p w:rsidR="00497E58" w:rsidRPr="005456F8" w:rsidRDefault="00497E5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97E58" w:rsidRPr="005456F8" w:rsidRDefault="00497E5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97E58" w:rsidRPr="005456F8" w:rsidRDefault="00497E5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497E58" w:rsidRPr="005456F8" w:rsidRDefault="00497E5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992" w:type="dxa"/>
            <w:noWrap/>
          </w:tcPr>
          <w:p w:rsidR="00497E5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068" w:type="dxa"/>
            <w:noWrap/>
          </w:tcPr>
          <w:p w:rsidR="00497E5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4" w:type="dxa"/>
            <w:noWrap/>
          </w:tcPr>
          <w:p w:rsidR="00497E5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50%</w:t>
            </w:r>
          </w:p>
        </w:tc>
        <w:tc>
          <w:tcPr>
            <w:tcW w:w="1255" w:type="dxa"/>
            <w:noWrap/>
          </w:tcPr>
          <w:p w:rsidR="00497E58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</w:tr>
      <w:tr w:rsidR="005456F8" w:rsidRPr="00485B18" w:rsidTr="005456F8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gridAfter w:val="1"/>
          <w:wAfter w:w="446" w:type="dxa"/>
          <w:trHeight w:val="259"/>
        </w:trPr>
        <w:tc>
          <w:tcPr>
            <w:tcW w:w="490" w:type="dxa"/>
            <w:gridSpan w:val="2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0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9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641" w:type="dxa"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4.1.10</w:t>
            </w:r>
          </w:p>
        </w:tc>
        <w:tc>
          <w:tcPr>
            <w:tcW w:w="1945" w:type="dxa"/>
            <w:gridSpan w:val="2"/>
          </w:tcPr>
          <w:p w:rsidR="005456F8" w:rsidRPr="00485B18" w:rsidRDefault="005456F8" w:rsidP="0032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proofErr w:type="gramStart"/>
            <w:r w:rsidRPr="00485B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Организация проведения мероприятий по профилактике алкоголизма, наркомании, токсикомании, пропаганде здорового образа жизни (акции, конкурсы, митинги, фестивали,  тематические вечера и дискотеки, дни здоровья).</w:t>
            </w:r>
            <w:proofErr w:type="gramEnd"/>
          </w:p>
        </w:tc>
        <w:tc>
          <w:tcPr>
            <w:tcW w:w="1762" w:type="dxa"/>
          </w:tcPr>
          <w:p w:rsidR="005456F8" w:rsidRPr="00485B18" w:rsidRDefault="005456F8" w:rsidP="00320E2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7"/>
                <w:szCs w:val="17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20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509 </w:t>
            </w:r>
          </w:p>
        </w:tc>
        <w:tc>
          <w:tcPr>
            <w:tcW w:w="429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03 </w:t>
            </w:r>
          </w:p>
        </w:tc>
        <w:tc>
          <w:tcPr>
            <w:tcW w:w="429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14 </w:t>
            </w:r>
          </w:p>
        </w:tc>
        <w:tc>
          <w:tcPr>
            <w:tcW w:w="1110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0620161920 </w:t>
            </w:r>
          </w:p>
        </w:tc>
        <w:tc>
          <w:tcPr>
            <w:tcW w:w="514" w:type="dxa"/>
            <w:noWrap/>
          </w:tcPr>
          <w:p w:rsidR="005456F8" w:rsidRPr="00485B18" w:rsidRDefault="005456F8" w:rsidP="00320E2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244 </w:t>
            </w:r>
          </w:p>
        </w:tc>
        <w:tc>
          <w:tcPr>
            <w:tcW w:w="907" w:type="dxa"/>
            <w:noWrap/>
          </w:tcPr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10,0</w:t>
            </w:r>
          </w:p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992" w:type="dxa"/>
            <w:noWrap/>
          </w:tcPr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1068" w:type="dxa"/>
            <w:noWrap/>
          </w:tcPr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4" w:type="dxa"/>
            <w:noWrap/>
          </w:tcPr>
          <w:p w:rsidR="005456F8" w:rsidRPr="005456F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45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50%</w:t>
            </w:r>
          </w:p>
        </w:tc>
        <w:tc>
          <w:tcPr>
            <w:tcW w:w="1255" w:type="dxa"/>
            <w:noWrap/>
          </w:tcPr>
          <w:p w:rsidR="005456F8" w:rsidRPr="00485B18" w:rsidRDefault="005456F8" w:rsidP="005456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</w:tr>
    </w:tbl>
    <w:p w:rsidR="00485B18" w:rsidRPr="00485B1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85B18" w:rsidRPr="00485B18" w:rsidRDefault="00485B1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B18" w:rsidRDefault="00485B1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6F8" w:rsidRPr="00485B18" w:rsidRDefault="005456F8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6.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8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B18" w:rsidRPr="00485B18" w:rsidRDefault="005456F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7" w:history="1">
        <w:r w:rsidR="00485B18" w:rsidRPr="00485B1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Отчет</w:t>
        </w:r>
      </w:hyperlink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B18" w:rsidRPr="00485B18" w:rsidRDefault="00497E5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05.07.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7E2328" w:rsidRDefault="00485B18" w:rsidP="00497E5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232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 2016-202</w:t>
            </w:r>
            <w:r w:rsidR="00497E5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E232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485B18" w:rsidRPr="00485B18" w:rsidTr="00EA1A00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485B18" w:rsidRPr="00485B18" w:rsidTr="00EA1A00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 2016-202</w:t>
            </w:r>
            <w:r w:rsidR="00497E5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85B1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годы. </w:t>
            </w:r>
          </w:p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97E58" w:rsidP="007E232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485B18" w:rsidRPr="00485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7E2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7E2328" w:rsidP="00497E5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97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46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 w:firstLineChars="2" w:firstLine="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97E58" w:rsidP="00497E5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97E5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85B18"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firstLineChars="100"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center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85B18">
              <w:rPr>
                <w:rFonts w:ascii="Calibri" w:eastAsia="Times New Roman" w:hAnsi="Calibri" w:cs="Calibri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</w:tcPr>
          <w:p w:rsidR="00485B18" w:rsidRPr="00485B18" w:rsidRDefault="00346037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5B18" w:rsidRPr="00485B18" w:rsidTr="00EA1A00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12" w:type="dxa"/>
            <w:noWrap/>
            <w:vAlign w:val="center"/>
            <w:hideMark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485B18" w:rsidRPr="00485B18" w:rsidRDefault="00485B18" w:rsidP="00A25279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460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A5BB8" w:rsidRDefault="00F27BC6" w:rsidP="00485B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F8" w:rsidRDefault="005456F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F8" w:rsidRDefault="005456F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6F8" w:rsidRDefault="005456F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r w:rsidR="005456F8">
        <w:fldChar w:fldCharType="begin"/>
      </w:r>
      <w:r w:rsidR="005456F8">
        <w:instrText xml:space="preserve"> HYPERLINK "consultantplus://offline/ref=81C534AC1618B38338B7138DDEB14344F59B417381706259B468524054C32ECBB30FCA5546109B5D4A4FBD6DK2O" </w:instrText>
      </w:r>
      <w:r w:rsidR="005456F8">
        <w:fldChar w:fldCharType="separate"/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5456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внесенных за отчетный период изменениях в муниципальную программу</w:t>
      </w:r>
    </w:p>
    <w:p w:rsidR="00485B18" w:rsidRPr="00485B18" w:rsidRDefault="00320E2D" w:rsidP="00485B1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05.07.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915" w:type="dxa"/>
            <w:shd w:val="clear" w:color="auto" w:fill="auto"/>
          </w:tcPr>
          <w:p w:rsidR="00485B18" w:rsidRPr="007E2328" w:rsidRDefault="00485B18" w:rsidP="007E232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232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 2016-2020 годы.</w:t>
            </w: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85B18" w:rsidRPr="00485B18" w:rsidTr="00EA1A00">
        <w:trPr>
          <w:trHeight w:val="20"/>
        </w:trPr>
        <w:tc>
          <w:tcPr>
            <w:tcW w:w="50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97E5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2019г.</w:t>
            </w: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497E5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изменения по срокам реализации программы (до 2021г.), уточнены цифры в бюджете. 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мая 2019г.</w:t>
            </w: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497E5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497E58" w:rsidP="00497E5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изменения в  план мероприятий программы, индикаторы.</w:t>
            </w:r>
          </w:p>
        </w:tc>
      </w:tr>
      <w:tr w:rsidR="00485B18" w:rsidRPr="00485B18" w:rsidTr="00EA1A00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485B18" w:rsidRPr="00485B18" w:rsidRDefault="00485B18" w:rsidP="00485B1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320E2D" w:rsidP="007E23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8. </w:t>
      </w:r>
      <w:r w:rsidRPr="0048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8" w:rsidRPr="00485B18" w:rsidRDefault="00485B18" w:rsidP="0048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485B18" w:rsidRPr="00485B18" w:rsidRDefault="00320E2D" w:rsidP="00485B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05.07.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85B18" w:rsidRPr="00485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686"/>
        <w:gridCol w:w="11056"/>
      </w:tblGrid>
      <w:tr w:rsidR="00485B18" w:rsidRPr="00485B18" w:rsidTr="00EA1A00">
        <w:tc>
          <w:tcPr>
            <w:tcW w:w="3686" w:type="dxa"/>
            <w:shd w:val="clear" w:color="auto" w:fill="auto"/>
          </w:tcPr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056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Комплексные меры противодействия 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5B18" w:rsidRPr="00485B18" w:rsidRDefault="00485B18" w:rsidP="00485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844"/>
        <w:gridCol w:w="1417"/>
        <w:gridCol w:w="1418"/>
        <w:gridCol w:w="1983"/>
        <w:gridCol w:w="1843"/>
        <w:gridCol w:w="1843"/>
        <w:gridCol w:w="1559"/>
        <w:gridCol w:w="1985"/>
      </w:tblGrid>
      <w:tr w:rsidR="00485B18" w:rsidRPr="00485B18" w:rsidTr="007B4AAD">
        <w:tc>
          <w:tcPr>
            <w:tcW w:w="1276" w:type="dxa"/>
            <w:gridSpan w:val="2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B18" w:rsidRPr="00485B18" w:rsidRDefault="00346037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</w:t>
            </w: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твенный</w:t>
            </w:r>
            <w:r w:rsidR="00485B18"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485B18" w:rsidRPr="00485B18" w:rsidTr="007B4AAD">
        <w:tc>
          <w:tcPr>
            <w:tcW w:w="709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85B18" w:rsidRPr="00485B18" w:rsidRDefault="005456F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5456F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485B18" w:rsidRPr="00485B18" w:rsidRDefault="005456F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485B18" w:rsidRPr="00485B18" w:rsidRDefault="005456F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:rsidR="00485B18" w:rsidRPr="00485B18" w:rsidRDefault="005456F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485B18" w:rsidRPr="00485B18" w:rsidTr="007B4AAD">
        <w:tc>
          <w:tcPr>
            <w:tcW w:w="709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85B18" w:rsidRPr="00485B18" w:rsidRDefault="00485B18" w:rsidP="00485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Комплексные меры противодействия 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lastRenderedPageBreak/>
              <w:t xml:space="preserve">немедицинскому потреблению наркотических средств и их незаконному обороту в муниципальном образовании 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Киясовский район</w:t>
            </w:r>
            <w:r w:rsidRPr="00485B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485B18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на 2016-2020 годы. 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Администрации МО </w:t>
            </w: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«Киясовский район» по социальным вопросам</w:t>
            </w:r>
          </w:p>
        </w:tc>
        <w:tc>
          <w:tcPr>
            <w:tcW w:w="1418" w:type="dxa"/>
            <w:shd w:val="clear" w:color="auto" w:fill="auto"/>
          </w:tcPr>
          <w:p w:rsidR="00485B18" w:rsidRPr="00485B18" w:rsidRDefault="00485B18" w:rsidP="00485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Антинаркотическая комиссия при </w:t>
            </w:r>
            <w:r w:rsidRPr="00485B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 «Киясовский район»</w:t>
            </w:r>
          </w:p>
          <w:p w:rsidR="00485B18" w:rsidRPr="00485B18" w:rsidRDefault="00485B18" w:rsidP="00485B1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485B18" w:rsidRPr="00485B18" w:rsidRDefault="00485B1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5B18" w:rsidRPr="00485B18" w:rsidRDefault="00485B18" w:rsidP="00240E93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5B18" w:rsidRPr="00485B18" w:rsidRDefault="00485B1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5B18" w:rsidRPr="00485B18" w:rsidRDefault="00485B18" w:rsidP="00A57630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85B18" w:rsidRPr="00485B18" w:rsidRDefault="00485B18" w:rsidP="003A5BB8">
            <w:pPr>
              <w:tabs>
                <w:tab w:val="left" w:pos="113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B18" w:rsidRPr="00485B18" w:rsidRDefault="00485B18" w:rsidP="00485B18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21A" w:rsidRDefault="0030121A"/>
    <w:sectPr w:rsidR="0030121A" w:rsidSect="00240E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82" w:rsidRDefault="005C7A82" w:rsidP="00485B18">
      <w:pPr>
        <w:spacing w:after="0" w:line="240" w:lineRule="auto"/>
      </w:pPr>
      <w:r>
        <w:separator/>
      </w:r>
    </w:p>
  </w:endnote>
  <w:endnote w:type="continuationSeparator" w:id="0">
    <w:p w:rsidR="005C7A82" w:rsidRDefault="005C7A82" w:rsidP="004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82" w:rsidRDefault="005C7A82" w:rsidP="00485B18">
      <w:pPr>
        <w:spacing w:after="0" w:line="240" w:lineRule="auto"/>
      </w:pPr>
      <w:r>
        <w:separator/>
      </w:r>
    </w:p>
  </w:footnote>
  <w:footnote w:type="continuationSeparator" w:id="0">
    <w:p w:rsidR="005C7A82" w:rsidRDefault="005C7A82" w:rsidP="00485B18">
      <w:pPr>
        <w:spacing w:after="0" w:line="240" w:lineRule="auto"/>
      </w:pPr>
      <w:r>
        <w:continuationSeparator/>
      </w:r>
    </w:p>
  </w:footnote>
  <w:footnote w:id="1">
    <w:p w:rsidR="005456F8" w:rsidRPr="008D17E2" w:rsidRDefault="005456F8" w:rsidP="00485B18">
      <w:pPr>
        <w:pStyle w:val="afa"/>
        <w:rPr>
          <w:sz w:val="16"/>
          <w:szCs w:val="16"/>
        </w:rPr>
      </w:pPr>
      <w:r w:rsidRPr="008D17E2">
        <w:rPr>
          <w:rStyle w:val="afc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33D1"/>
    <w:multiLevelType w:val="hybridMultilevel"/>
    <w:tmpl w:val="794029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561"/>
    <w:multiLevelType w:val="hybridMultilevel"/>
    <w:tmpl w:val="D624CA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BC40247"/>
    <w:multiLevelType w:val="hybridMultilevel"/>
    <w:tmpl w:val="1D50F26A"/>
    <w:lvl w:ilvl="0" w:tplc="3B6C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F0714"/>
    <w:multiLevelType w:val="hybridMultilevel"/>
    <w:tmpl w:val="C13832B6"/>
    <w:lvl w:ilvl="0" w:tplc="5136F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8E674D"/>
    <w:multiLevelType w:val="multilevel"/>
    <w:tmpl w:val="8F68F8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1BC21D3E"/>
    <w:multiLevelType w:val="hybridMultilevel"/>
    <w:tmpl w:val="B70CC55E"/>
    <w:lvl w:ilvl="0" w:tplc="9E2A5F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A05C0E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6129"/>
    <w:multiLevelType w:val="multilevel"/>
    <w:tmpl w:val="6DD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41306"/>
    <w:multiLevelType w:val="hybridMultilevel"/>
    <w:tmpl w:val="39CE0746"/>
    <w:lvl w:ilvl="0" w:tplc="C30EA0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24AC9"/>
    <w:multiLevelType w:val="hybridMultilevel"/>
    <w:tmpl w:val="4956DFCA"/>
    <w:lvl w:ilvl="0" w:tplc="F3E41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42A42"/>
    <w:multiLevelType w:val="multilevel"/>
    <w:tmpl w:val="BAA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101AC"/>
    <w:multiLevelType w:val="multilevel"/>
    <w:tmpl w:val="856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6E0CAF"/>
    <w:multiLevelType w:val="hybridMultilevel"/>
    <w:tmpl w:val="98521592"/>
    <w:lvl w:ilvl="0" w:tplc="D870C8D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43832"/>
    <w:multiLevelType w:val="multilevel"/>
    <w:tmpl w:val="3F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A5C85"/>
    <w:multiLevelType w:val="hybridMultilevel"/>
    <w:tmpl w:val="5F5E03D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3744FB"/>
    <w:multiLevelType w:val="hybridMultilevel"/>
    <w:tmpl w:val="85885506"/>
    <w:lvl w:ilvl="0" w:tplc="1A76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DC0572"/>
    <w:multiLevelType w:val="hybridMultilevel"/>
    <w:tmpl w:val="C6F09ECA"/>
    <w:lvl w:ilvl="0" w:tplc="58A4EDE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BF0C08"/>
    <w:multiLevelType w:val="multilevel"/>
    <w:tmpl w:val="EA3211EA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26">
    <w:nsid w:val="49F919A1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8312E"/>
    <w:multiLevelType w:val="hybridMultilevel"/>
    <w:tmpl w:val="06C41002"/>
    <w:lvl w:ilvl="0" w:tplc="9866285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F324D6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96936"/>
    <w:multiLevelType w:val="hybridMultilevel"/>
    <w:tmpl w:val="1D187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E71CF"/>
    <w:multiLevelType w:val="multilevel"/>
    <w:tmpl w:val="B8841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2563A3A"/>
    <w:multiLevelType w:val="hybridMultilevel"/>
    <w:tmpl w:val="135C0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D7441F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CC51B52"/>
    <w:multiLevelType w:val="hybridMultilevel"/>
    <w:tmpl w:val="BC4896B0"/>
    <w:lvl w:ilvl="0" w:tplc="E5C8B3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74337"/>
    <w:multiLevelType w:val="hybridMultilevel"/>
    <w:tmpl w:val="9B6039C2"/>
    <w:lvl w:ilvl="0" w:tplc="D870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8CE"/>
    <w:multiLevelType w:val="multilevel"/>
    <w:tmpl w:val="77EAC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C3D0983"/>
    <w:multiLevelType w:val="multilevel"/>
    <w:tmpl w:val="228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32"/>
  </w:num>
  <w:num w:numId="5">
    <w:abstractNumId w:val="16"/>
  </w:num>
  <w:num w:numId="6">
    <w:abstractNumId w:val="28"/>
  </w:num>
  <w:num w:numId="7">
    <w:abstractNumId w:val="9"/>
  </w:num>
  <w:num w:numId="8">
    <w:abstractNumId w:val="24"/>
  </w:num>
  <w:num w:numId="9">
    <w:abstractNumId w:val="23"/>
  </w:num>
  <w:num w:numId="10">
    <w:abstractNumId w:val="25"/>
  </w:num>
  <w:num w:numId="11">
    <w:abstractNumId w:val="35"/>
  </w:num>
  <w:num w:numId="12">
    <w:abstractNumId w:val="20"/>
  </w:num>
  <w:num w:numId="13">
    <w:abstractNumId w:val="17"/>
  </w:num>
  <w:num w:numId="14">
    <w:abstractNumId w:val="5"/>
  </w:num>
  <w:num w:numId="15">
    <w:abstractNumId w:val="29"/>
  </w:num>
  <w:num w:numId="16">
    <w:abstractNumId w:val="19"/>
  </w:num>
  <w:num w:numId="17">
    <w:abstractNumId w:val="3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6"/>
  </w:num>
  <w:num w:numId="22">
    <w:abstractNumId w:val="10"/>
  </w:num>
  <w:num w:numId="23">
    <w:abstractNumId w:val="37"/>
  </w:num>
  <w:num w:numId="24">
    <w:abstractNumId w:val="34"/>
  </w:num>
  <w:num w:numId="25">
    <w:abstractNumId w:val="27"/>
  </w:num>
  <w:num w:numId="26">
    <w:abstractNumId w:val="14"/>
  </w:num>
  <w:num w:numId="27">
    <w:abstractNumId w:val="18"/>
  </w:num>
  <w:num w:numId="28">
    <w:abstractNumId w:val="31"/>
  </w:num>
  <w:num w:numId="29">
    <w:abstractNumId w:val="7"/>
  </w:num>
  <w:num w:numId="30">
    <w:abstractNumId w:val="11"/>
  </w:num>
  <w:num w:numId="31">
    <w:abstractNumId w:val="15"/>
  </w:num>
  <w:num w:numId="32">
    <w:abstractNumId w:val="40"/>
  </w:num>
  <w:num w:numId="33">
    <w:abstractNumId w:val="12"/>
  </w:num>
  <w:num w:numId="34">
    <w:abstractNumId w:val="2"/>
  </w:num>
  <w:num w:numId="35">
    <w:abstractNumId w:val="8"/>
  </w:num>
  <w:num w:numId="36">
    <w:abstractNumId w:val="3"/>
  </w:num>
  <w:num w:numId="37">
    <w:abstractNumId w:val="1"/>
  </w:num>
  <w:num w:numId="38">
    <w:abstractNumId w:val="36"/>
  </w:num>
  <w:num w:numId="39">
    <w:abstractNumId w:val="30"/>
  </w:num>
  <w:num w:numId="40">
    <w:abstractNumId w:val="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B18"/>
    <w:rsid w:val="00071DBC"/>
    <w:rsid w:val="000D2807"/>
    <w:rsid w:val="00102BAE"/>
    <w:rsid w:val="00104C49"/>
    <w:rsid w:val="001058F9"/>
    <w:rsid w:val="00122FD5"/>
    <w:rsid w:val="00126B04"/>
    <w:rsid w:val="00167331"/>
    <w:rsid w:val="001738B0"/>
    <w:rsid w:val="00174E90"/>
    <w:rsid w:val="001971A2"/>
    <w:rsid w:val="001E457B"/>
    <w:rsid w:val="001F1F1B"/>
    <w:rsid w:val="00240679"/>
    <w:rsid w:val="00240E93"/>
    <w:rsid w:val="00271793"/>
    <w:rsid w:val="00271FC7"/>
    <w:rsid w:val="002A4D55"/>
    <w:rsid w:val="002B13B6"/>
    <w:rsid w:val="002B3A5E"/>
    <w:rsid w:val="002D69C7"/>
    <w:rsid w:val="002E254D"/>
    <w:rsid w:val="0030121A"/>
    <w:rsid w:val="00320E2D"/>
    <w:rsid w:val="00324BE0"/>
    <w:rsid w:val="00334018"/>
    <w:rsid w:val="00346037"/>
    <w:rsid w:val="003505F1"/>
    <w:rsid w:val="003576B5"/>
    <w:rsid w:val="00395F92"/>
    <w:rsid w:val="003A5BB8"/>
    <w:rsid w:val="003A70D0"/>
    <w:rsid w:val="003D1458"/>
    <w:rsid w:val="003D60AD"/>
    <w:rsid w:val="004034EA"/>
    <w:rsid w:val="0042645E"/>
    <w:rsid w:val="004342C3"/>
    <w:rsid w:val="004373BE"/>
    <w:rsid w:val="00485B18"/>
    <w:rsid w:val="00497E58"/>
    <w:rsid w:val="004B2C8A"/>
    <w:rsid w:val="004B76F3"/>
    <w:rsid w:val="004E417C"/>
    <w:rsid w:val="004F5469"/>
    <w:rsid w:val="00522523"/>
    <w:rsid w:val="005309AF"/>
    <w:rsid w:val="005456F8"/>
    <w:rsid w:val="00554D39"/>
    <w:rsid w:val="00591C40"/>
    <w:rsid w:val="00592717"/>
    <w:rsid w:val="005A05D1"/>
    <w:rsid w:val="005A51C7"/>
    <w:rsid w:val="005C7A82"/>
    <w:rsid w:val="00636A8D"/>
    <w:rsid w:val="006418C3"/>
    <w:rsid w:val="00654915"/>
    <w:rsid w:val="00675E93"/>
    <w:rsid w:val="006771B6"/>
    <w:rsid w:val="006A0E6C"/>
    <w:rsid w:val="006C5099"/>
    <w:rsid w:val="006F54A2"/>
    <w:rsid w:val="00752DB0"/>
    <w:rsid w:val="007635E7"/>
    <w:rsid w:val="007664CC"/>
    <w:rsid w:val="00780BC0"/>
    <w:rsid w:val="007A05D6"/>
    <w:rsid w:val="007B4AAD"/>
    <w:rsid w:val="007B5AC0"/>
    <w:rsid w:val="007C3365"/>
    <w:rsid w:val="007E2328"/>
    <w:rsid w:val="008273D6"/>
    <w:rsid w:val="00844F1E"/>
    <w:rsid w:val="00876E21"/>
    <w:rsid w:val="008815E5"/>
    <w:rsid w:val="00893DA8"/>
    <w:rsid w:val="008C594C"/>
    <w:rsid w:val="008C7E38"/>
    <w:rsid w:val="008E03B6"/>
    <w:rsid w:val="008E4D9E"/>
    <w:rsid w:val="00927BDD"/>
    <w:rsid w:val="0094202D"/>
    <w:rsid w:val="00943754"/>
    <w:rsid w:val="00987367"/>
    <w:rsid w:val="009D41A4"/>
    <w:rsid w:val="00A25279"/>
    <w:rsid w:val="00A54A0A"/>
    <w:rsid w:val="00A57630"/>
    <w:rsid w:val="00A61F39"/>
    <w:rsid w:val="00AE0866"/>
    <w:rsid w:val="00B004B4"/>
    <w:rsid w:val="00B03FE7"/>
    <w:rsid w:val="00B4381C"/>
    <w:rsid w:val="00B463C9"/>
    <w:rsid w:val="00B54AE8"/>
    <w:rsid w:val="00B94900"/>
    <w:rsid w:val="00BB2C32"/>
    <w:rsid w:val="00BC0459"/>
    <w:rsid w:val="00BE04D5"/>
    <w:rsid w:val="00BE0968"/>
    <w:rsid w:val="00BE7BC0"/>
    <w:rsid w:val="00C01316"/>
    <w:rsid w:val="00C459E5"/>
    <w:rsid w:val="00CE10F5"/>
    <w:rsid w:val="00CE56BC"/>
    <w:rsid w:val="00CE6653"/>
    <w:rsid w:val="00D225AF"/>
    <w:rsid w:val="00D35B78"/>
    <w:rsid w:val="00D4343E"/>
    <w:rsid w:val="00D605E9"/>
    <w:rsid w:val="00DB11F2"/>
    <w:rsid w:val="00DB3C83"/>
    <w:rsid w:val="00DD55CE"/>
    <w:rsid w:val="00E16745"/>
    <w:rsid w:val="00E36221"/>
    <w:rsid w:val="00E430F3"/>
    <w:rsid w:val="00E60345"/>
    <w:rsid w:val="00EA06D4"/>
    <w:rsid w:val="00EA1A00"/>
    <w:rsid w:val="00EB0D5C"/>
    <w:rsid w:val="00EB4DE9"/>
    <w:rsid w:val="00EC1684"/>
    <w:rsid w:val="00EC6A8E"/>
    <w:rsid w:val="00F029CC"/>
    <w:rsid w:val="00F210B4"/>
    <w:rsid w:val="00F27BC6"/>
    <w:rsid w:val="00F42217"/>
    <w:rsid w:val="00FA3538"/>
    <w:rsid w:val="00FA6ED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485B1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485B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B1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B18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5B18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48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485B1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5B1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5B18"/>
  </w:style>
  <w:style w:type="paragraph" w:styleId="21">
    <w:name w:val="Body Text 2"/>
    <w:basedOn w:val="a"/>
    <w:link w:val="22"/>
    <w:rsid w:val="00485B1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5B1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85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85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85B18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rsid w:val="00485B18"/>
  </w:style>
  <w:style w:type="paragraph" w:styleId="31">
    <w:name w:val="Body Text Indent 3"/>
    <w:basedOn w:val="a"/>
    <w:link w:val="32"/>
    <w:rsid w:val="00485B18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85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485B18"/>
    <w:pPr>
      <w:spacing w:after="0" w:line="240" w:lineRule="auto"/>
      <w:ind w:right="467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485B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lock Text"/>
    <w:basedOn w:val="a"/>
    <w:rsid w:val="00485B18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rsid w:val="00485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485B1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485B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5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485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485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485B1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485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485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85B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Абзац списка Знак"/>
    <w:link w:val="af3"/>
    <w:uiPriority w:val="34"/>
    <w:locked/>
    <w:rsid w:val="00485B18"/>
    <w:rPr>
      <w:rFonts w:ascii="Calibri" w:eastAsia="Calibri" w:hAnsi="Calibri" w:cs="Times New Roman"/>
    </w:rPr>
  </w:style>
  <w:style w:type="paragraph" w:styleId="af5">
    <w:name w:val="header"/>
    <w:basedOn w:val="a"/>
    <w:link w:val="af6"/>
    <w:unhideWhenUsed/>
    <w:rsid w:val="00485B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rsid w:val="00485B18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485B18"/>
  </w:style>
  <w:style w:type="table" w:customStyle="1" w:styleId="112">
    <w:name w:val="Сетка таблицы11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485B1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unhideWhenUsed/>
    <w:qFormat/>
    <w:rsid w:val="00485B1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85B18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485B18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485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85B18"/>
  </w:style>
  <w:style w:type="paragraph" w:styleId="afa">
    <w:name w:val="footnote text"/>
    <w:basedOn w:val="a"/>
    <w:link w:val="afb"/>
    <w:uiPriority w:val="99"/>
    <w:unhideWhenUsed/>
    <w:rsid w:val="0048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485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485B18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485B18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485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5B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485B18"/>
  </w:style>
  <w:style w:type="character" w:styleId="afe">
    <w:name w:val="Emphasis"/>
    <w:uiPriority w:val="20"/>
    <w:qFormat/>
    <w:rsid w:val="00485B18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85B18"/>
  </w:style>
  <w:style w:type="table" w:customStyle="1" w:styleId="51">
    <w:name w:val="Сетка таблицы5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485B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485B18"/>
    <w:rPr>
      <w:color w:val="800080"/>
      <w:u w:val="single"/>
    </w:rPr>
  </w:style>
  <w:style w:type="character" w:customStyle="1" w:styleId="af8">
    <w:name w:val="Без интервала Знак"/>
    <w:link w:val="af7"/>
    <w:uiPriority w:val="1"/>
    <w:rsid w:val="00485B1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485B1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Strong"/>
    <w:uiPriority w:val="22"/>
    <w:qFormat/>
    <w:rsid w:val="00485B18"/>
    <w:rPr>
      <w:b/>
      <w:bCs/>
    </w:rPr>
  </w:style>
  <w:style w:type="paragraph" w:customStyle="1" w:styleId="16">
    <w:name w:val="Название объекта1"/>
    <w:basedOn w:val="a"/>
    <w:next w:val="a"/>
    <w:rsid w:val="00485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48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36DK0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16DK3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</dc:creator>
  <cp:keywords/>
  <dc:description/>
  <cp:lastModifiedBy>User</cp:lastModifiedBy>
  <cp:revision>19</cp:revision>
  <cp:lastPrinted>2019-01-22T12:20:00Z</cp:lastPrinted>
  <dcterms:created xsi:type="dcterms:W3CDTF">2018-01-29T12:37:00Z</dcterms:created>
  <dcterms:modified xsi:type="dcterms:W3CDTF">2019-07-09T04:26:00Z</dcterms:modified>
</cp:coreProperties>
</file>