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образование «</w:t>
      </w:r>
      <w:r w:rsidR="001D0844">
        <w:rPr>
          <w:rFonts w:ascii="Times New Roman" w:eastAsia="Calibri" w:hAnsi="Times New Roman" w:cs="Times New Roman"/>
          <w:b/>
          <w:bCs/>
          <w:sz w:val="24"/>
          <w:szCs w:val="24"/>
        </w:rPr>
        <w:t>Подгорновское</w:t>
      </w:r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 Удмуртской Республики 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D02E3">
        <w:rPr>
          <w:rFonts w:ascii="Times New Roman" w:eastAsia="Calibri" w:hAnsi="Times New Roman" w:cs="Times New Roman"/>
          <w:b/>
          <w:bCs/>
          <w:sz w:val="26"/>
          <w:szCs w:val="26"/>
        </w:rPr>
        <w:t>Программа «Формирование современной городской среды на 2018-2022 годы на территории МО «Подгорновское»</w:t>
      </w: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26"/>
          <w:szCs w:val="26"/>
        </w:rPr>
      </w:pP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26"/>
          <w:szCs w:val="26"/>
        </w:rPr>
      </w:pPr>
    </w:p>
    <w:p w:rsidR="00AD02E3" w:rsidRPr="00AD02E3" w:rsidRDefault="00AD02E3" w:rsidP="00AD02E3">
      <w:pPr>
        <w:tabs>
          <w:tab w:val="left" w:pos="3296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Утверждена</w:t>
      </w:r>
      <w:proofErr w:type="gramEnd"/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Постановлением 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Администрации МО «Подгорновское»  </w:t>
      </w:r>
    </w:p>
    <w:p w:rsidR="00AD02E3" w:rsidRPr="00AD02E3" w:rsidRDefault="001D0844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35 </w:t>
      </w:r>
      <w:r w:rsidR="00AD02E3"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от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 w:rsidR="00AD02E3"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октября </w:t>
      </w:r>
      <w:r w:rsidR="00AD02E3"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2017 года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«Об утверждении муниципальной программы «Формирование современной городской среды на 2018-2022 годы на территории МО «Подгорновское»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Срок реализации подпрограммы 2018-2022 годы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</w:rPr>
        <w:t>Этапы реализации не выделяются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1.Характеристика текущего состояния сектора благоустройства муниципальном </w:t>
      </w:r>
      <w:proofErr w:type="gramStart"/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«Подгорновское».</w:t>
      </w:r>
    </w:p>
    <w:p w:rsidR="00AD02E3" w:rsidRPr="00AD02E3" w:rsidRDefault="00AD02E3" w:rsidP="00AD02E3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Сфера реализации программы направлена на создание комфортной, безопасной и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эстетически привлекательной окружающей среды  для проживания граждан, проживающих в с.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Подгорное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2891" w:rsidRDefault="00AD02E3" w:rsidP="00AD02E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с.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Подгорное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проживает 1524 человека. </w:t>
      </w:r>
      <w:r w:rsidR="009F2891" w:rsidRPr="00021F08">
        <w:rPr>
          <w:rFonts w:ascii="Times New Roman" w:hAnsi="Times New Roman" w:cs="Times New Roman"/>
          <w:sz w:val="24"/>
          <w:szCs w:val="24"/>
        </w:rPr>
        <w:t xml:space="preserve">Площадь населенного пункта - </w:t>
      </w:r>
      <w:r w:rsidR="009F2891">
        <w:rPr>
          <w:rFonts w:ascii="Times New Roman" w:hAnsi="Times New Roman" w:cs="Times New Roman"/>
          <w:sz w:val="24"/>
          <w:szCs w:val="24"/>
        </w:rPr>
        <w:t>190</w:t>
      </w:r>
      <w:r w:rsidR="009F2891" w:rsidRPr="00021F08">
        <w:rPr>
          <w:rFonts w:ascii="Times New Roman" w:hAnsi="Times New Roman" w:cs="Times New Roman"/>
          <w:sz w:val="24"/>
          <w:szCs w:val="24"/>
        </w:rPr>
        <w:t xml:space="preserve"> га, из них индивидуальная жилая застройка и личные подсобные хозяйства граждан занимают </w:t>
      </w:r>
      <w:r w:rsidR="009F2891">
        <w:rPr>
          <w:rFonts w:ascii="Times New Roman" w:hAnsi="Times New Roman" w:cs="Times New Roman"/>
          <w:sz w:val="24"/>
          <w:szCs w:val="24"/>
        </w:rPr>
        <w:t>140</w:t>
      </w:r>
      <w:r w:rsidR="009F2891" w:rsidRPr="00021F08">
        <w:rPr>
          <w:rFonts w:ascii="Times New Roman" w:hAnsi="Times New Roman" w:cs="Times New Roman"/>
          <w:sz w:val="24"/>
          <w:szCs w:val="24"/>
        </w:rPr>
        <w:t xml:space="preserve"> га.  В селе </w:t>
      </w:r>
      <w:proofErr w:type="gramStart"/>
      <w:r w:rsidR="009F2891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9F2891">
        <w:rPr>
          <w:rFonts w:ascii="Times New Roman" w:hAnsi="Times New Roman" w:cs="Times New Roman"/>
          <w:sz w:val="24"/>
          <w:szCs w:val="24"/>
        </w:rPr>
        <w:t xml:space="preserve"> 13</w:t>
      </w:r>
      <w:r w:rsidR="009F2891" w:rsidRPr="00021F08">
        <w:rPr>
          <w:rFonts w:ascii="Times New Roman" w:hAnsi="Times New Roman" w:cs="Times New Roman"/>
          <w:sz w:val="24"/>
          <w:szCs w:val="24"/>
        </w:rPr>
        <w:t xml:space="preserve"> улиц, </w:t>
      </w:r>
      <w:r w:rsidR="009F2891">
        <w:rPr>
          <w:rFonts w:ascii="Times New Roman" w:hAnsi="Times New Roman" w:cs="Times New Roman"/>
          <w:sz w:val="24"/>
          <w:szCs w:val="24"/>
        </w:rPr>
        <w:t>110</w:t>
      </w:r>
      <w:r w:rsidR="009F2891" w:rsidRPr="00021F08">
        <w:rPr>
          <w:rFonts w:ascii="Times New Roman" w:hAnsi="Times New Roman" w:cs="Times New Roman"/>
          <w:sz w:val="24"/>
          <w:szCs w:val="24"/>
        </w:rPr>
        <w:t xml:space="preserve"> индивидуальных жилых домов и около </w:t>
      </w:r>
      <w:r w:rsidR="009F2891">
        <w:rPr>
          <w:rFonts w:ascii="Times New Roman" w:hAnsi="Times New Roman" w:cs="Times New Roman"/>
          <w:sz w:val="24"/>
          <w:szCs w:val="24"/>
        </w:rPr>
        <w:t xml:space="preserve">126 </w:t>
      </w:r>
      <w:r w:rsidR="009F2891" w:rsidRPr="00021F08">
        <w:rPr>
          <w:rFonts w:ascii="Times New Roman" w:hAnsi="Times New Roman" w:cs="Times New Roman"/>
          <w:sz w:val="24"/>
          <w:szCs w:val="24"/>
        </w:rPr>
        <w:t xml:space="preserve">домов блокированной застройки. Застройка преимущественно индивидуальная и блокированная </w:t>
      </w:r>
      <w:proofErr w:type="spellStart"/>
      <w:r w:rsidR="009F2891" w:rsidRPr="00021F08">
        <w:rPr>
          <w:rFonts w:ascii="Times New Roman" w:hAnsi="Times New Roman" w:cs="Times New Roman"/>
          <w:sz w:val="24"/>
          <w:szCs w:val="24"/>
        </w:rPr>
        <w:t>низкоэтажная</w:t>
      </w:r>
      <w:proofErr w:type="spellEnd"/>
      <w:r w:rsidR="009F2891" w:rsidRPr="00021F08">
        <w:rPr>
          <w:rFonts w:ascii="Times New Roman" w:hAnsi="Times New Roman" w:cs="Times New Roman"/>
          <w:sz w:val="24"/>
          <w:szCs w:val="24"/>
        </w:rPr>
        <w:t xml:space="preserve">.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селе имеется средняя общеобразовательная школа, в которой обучается 160 детей, детский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сад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который посещает 105 детей. </w:t>
      </w:r>
      <w:r w:rsidR="009F2891" w:rsidRPr="00021F08">
        <w:rPr>
          <w:rFonts w:ascii="Times New Roman" w:hAnsi="Times New Roman" w:cs="Times New Roman"/>
          <w:sz w:val="24"/>
          <w:szCs w:val="24"/>
        </w:rPr>
        <w:t>Ежегодно силами местной администрации, молодежных общественных организаций в селе возводятся малые архитектурные формы - клумбы, цветники, детские площадки.</w:t>
      </w:r>
      <w:r w:rsidR="009F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844" w:rsidRDefault="00AD02E3" w:rsidP="00AD02E3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селе имеется стадион, на котором проходят уроки физкультуры у школьников</w:t>
      </w:r>
      <w:r w:rsidR="001D0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0844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спортивномассовые</w:t>
      </w:r>
      <w:proofErr w:type="spellEnd"/>
      <w:r w:rsidR="001D0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праздничные мероприятия для жителей и гостей села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. Проводят спортивные мероприятия для воспитанников детского сада. Проходят спортивные мероприятия местного и районного уровня.</w:t>
      </w:r>
    </w:p>
    <w:p w:rsidR="00AD02E3" w:rsidRPr="00AD02E3" w:rsidRDefault="00AD02E3" w:rsidP="00AD02E3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территории стадиона не соответствует современным требованиям</w:t>
      </w:r>
      <w:r w:rsidR="00B92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F2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разрушившиеся </w:t>
      </w:r>
      <w:r w:rsidR="00B92BE1">
        <w:rPr>
          <w:rFonts w:ascii="Times New Roman" w:eastAsia="Calibri" w:hAnsi="Times New Roman" w:cs="Times New Roman"/>
          <w:sz w:val="24"/>
          <w:szCs w:val="24"/>
          <w:lang w:eastAsia="ru-RU"/>
        </w:rPr>
        <w:t>асфальтобетонное покрытие</w:t>
      </w:r>
      <w:r w:rsidR="009F2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беговой дорожки</w:t>
      </w:r>
      <w:r w:rsidR="00B92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спортивные снаряды, </w:t>
      </w:r>
      <w:r w:rsidR="009F2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ограждение, </w:t>
      </w:r>
      <w:r w:rsidR="00B92B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подъездные пути и </w:t>
      </w:r>
      <w:r w:rsidR="009F2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отсутствующие </w:t>
      </w:r>
      <w:r w:rsidR="00B92BE1">
        <w:rPr>
          <w:rFonts w:ascii="Times New Roman" w:eastAsia="Calibri" w:hAnsi="Times New Roman" w:cs="Times New Roman"/>
          <w:sz w:val="24"/>
          <w:szCs w:val="24"/>
          <w:lang w:eastAsia="ru-RU"/>
        </w:rPr>
        <w:t>парковочные зоны</w:t>
      </w:r>
      <w:r w:rsidR="009F2891">
        <w:rPr>
          <w:rFonts w:ascii="Times New Roman" w:eastAsia="Calibri" w:hAnsi="Times New Roman" w:cs="Times New Roman"/>
          <w:sz w:val="24"/>
          <w:szCs w:val="24"/>
          <w:lang w:eastAsia="ru-RU"/>
        </w:rPr>
        <w:t>, рельеф игрового поля</w:t>
      </w:r>
      <w:r w:rsidR="004D62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62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нуждается в проведении работ по выравниванию плоскости поля, низкий уровень освещенности объекта</w:t>
      </w:r>
      <w:r w:rsidR="00B92B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D02E3" w:rsidRPr="00AD02E3" w:rsidRDefault="00AD02E3" w:rsidP="00AD02E3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Детских площадок, которые  соответствовали требованиям правил благоустройства МО «Подгорновское» нет. Детские площадки не соответствуют современным требованиям, такие площадки оборудованы жильцами самостоятельно из отработанных </w:t>
      </w:r>
      <w:r w:rsidR="004D6240">
        <w:rPr>
          <w:rFonts w:ascii="Times New Roman" w:eastAsia="Calibri" w:hAnsi="Times New Roman" w:cs="Times New Roman"/>
          <w:sz w:val="24"/>
          <w:szCs w:val="24"/>
          <w:lang w:eastAsia="ru-RU"/>
        </w:rPr>
        <w:t>покрышек, деревянных досок и доступных на селе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материалов.</w:t>
      </w:r>
    </w:p>
    <w:p w:rsidR="00AD02E3" w:rsidRPr="00AD02E3" w:rsidRDefault="00AD02E3" w:rsidP="00AD02E3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2E3" w:rsidRPr="00AD02E3" w:rsidRDefault="00AD02E3" w:rsidP="00AD02E3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Приоритеты, цели и задачи в сфере деятельности.</w:t>
      </w:r>
    </w:p>
    <w:p w:rsidR="00AD02E3" w:rsidRPr="00AD02E3" w:rsidRDefault="00AD02E3" w:rsidP="00AD02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Вопросы благоустройства территорий населенных пунктов отнесены к полномочиям органов местного самоуправления. В МО «Подгорновское» разработаны и утверждены Правила благоустройства.</w:t>
      </w:r>
    </w:p>
    <w:p w:rsidR="00AD02E3" w:rsidRPr="00AD02E3" w:rsidRDefault="00AD02E3" w:rsidP="00AD02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Правила благоустройства МО «Подгорновское», утверждены решением Совета депутатов МО «Подгорновское» от 3</w:t>
      </w:r>
      <w:r w:rsidR="004D6240"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  <w:r w:rsidR="004D6240"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0.201</w:t>
      </w:r>
      <w:r w:rsidR="004D6240">
        <w:rPr>
          <w:rFonts w:ascii="Times New Roman" w:eastAsia="Calibri" w:hAnsi="Times New Roman" w:cs="Times New Roman"/>
          <w:sz w:val="24"/>
          <w:szCs w:val="20"/>
          <w:lang w:eastAsia="ru-RU"/>
        </w:rPr>
        <w:t>7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 №</w:t>
      </w:r>
      <w:r w:rsidR="004D624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4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1;</w:t>
      </w:r>
    </w:p>
    <w:p w:rsidR="00AD02E3" w:rsidRPr="00AD02E3" w:rsidRDefault="00AD02E3" w:rsidP="00AD02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При Администрации МО «Киясовский район» создана Решением Президиума Киясовского районного Совета депутатов от 19.05.2015 №140 и функционирует Административная комиссия.</w:t>
      </w:r>
    </w:p>
    <w:p w:rsidR="00AD02E3" w:rsidRPr="00AD02E3" w:rsidRDefault="004D6240" w:rsidP="004D6240">
      <w:pPr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AD02E3"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целях стимулирования населения к повышению уровня благоустроенности территорий населенных пунктов муниципальное образование «Подгорновское» участвовало в республиканском конкурсе «Самый благоустроенный населенный пункт, район города Ижевска» </w:t>
      </w:r>
      <w:r w:rsidRPr="004D62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6240">
        <w:rPr>
          <w:rFonts w:ascii="Times New Roman" w:hAnsi="Times New Roman" w:cs="Times New Roman"/>
          <w:sz w:val="24"/>
          <w:szCs w:val="24"/>
        </w:rPr>
        <w:t xml:space="preserve"> категория поселки и иные населенные 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2E3"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в  2017 году.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4D6240">
        <w:rPr>
          <w:rFonts w:ascii="Times New Roman" w:hAnsi="Times New Roman" w:cs="Times New Roman"/>
          <w:sz w:val="24"/>
          <w:szCs w:val="24"/>
        </w:rPr>
        <w:t xml:space="preserve">Ежегодно проводится смотр </w:t>
      </w:r>
      <w:proofErr w:type="gramStart"/>
      <w:r w:rsidRPr="004D624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4D6240">
        <w:rPr>
          <w:rFonts w:ascii="Times New Roman" w:hAnsi="Times New Roman" w:cs="Times New Roman"/>
          <w:sz w:val="24"/>
          <w:szCs w:val="24"/>
        </w:rPr>
        <w:t>онкурс на лучшее новогоднее оформление зданий, прилегающих территорий, личных домовладений.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40">
        <w:rPr>
          <w:rFonts w:ascii="Times New Roman" w:hAnsi="Times New Roman" w:cs="Times New Roman"/>
          <w:sz w:val="24"/>
          <w:szCs w:val="24"/>
        </w:rPr>
        <w:t>Ежегодно проводиться конкурс на самую благоустроенную придомовую территорию.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2E3"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Ежегодно (весной) администрация МО «Подгорновское» издает постановление о начале работ по санитарной очистке территории района и контролирует ход мероприятий по санитарной очистке территорий района.  В благоустройстве общественных территорий участвую жители с. Подгорное</w:t>
      </w:r>
      <w:proofErr w:type="gramStart"/>
      <w:r w:rsidR="00AD02E3"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AD02E3" w:rsidRPr="00AD02E3" w:rsidRDefault="00AD02E3" w:rsidP="00AD02E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AD02E3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Приоритетным направлением</w:t>
      </w: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организации благоустройства общественных территорий и формировании комфортной городской среды для проживания граждан являются: </w:t>
      </w:r>
    </w:p>
    <w:p w:rsidR="00AD02E3" w:rsidRPr="00AD02E3" w:rsidRDefault="00AD02E3" w:rsidP="00AD02E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- приведение уровня благоустройства общественных территорий к требованиям Правил благоустройства МО «Подгорновское»;</w:t>
      </w:r>
    </w:p>
    <w:p w:rsidR="00AD02E3" w:rsidRPr="00AD02E3" w:rsidRDefault="00AD02E3" w:rsidP="00AD02E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0"/>
          <w:lang w:eastAsia="ru-RU"/>
        </w:rPr>
        <w:t>- повышение уровня заинтересованности граждан в благоустройстве общественных территорий, привлечение граждан для участия в реализации мероприятий программы.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2E3">
        <w:rPr>
          <w:rFonts w:ascii="Times New Roman" w:hAnsi="Times New Roman"/>
          <w:sz w:val="24"/>
        </w:rPr>
        <w:t>В рамках полномочий органов местного самоуправления МО «Подгорновское», с учетом направлений стимулирования органов местного самоуправления органами государственной власти Российской Федерации, Удмуртской Республики определены цель и задачи подпрограммы.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комфортной среды для проживания граждан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. Для достижения поставленной цели определены следующие </w:t>
      </w:r>
      <w:r w:rsidRPr="00AD02E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AD02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1)  Повышение уровня благоустройства общественных территорий (парков, скверов, стадионов, детских площадок);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2) Повышение уровня заинтересованности граждан, организаций в реализации мероприятий по благоустройству территорий муниципального образования «Подгорновское» Удмуртской Республики.</w:t>
      </w: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3.Прогноз ожидаемых результатов реализации программы.</w:t>
      </w:r>
    </w:p>
    <w:p w:rsidR="00AD02E3" w:rsidRPr="00AD02E3" w:rsidRDefault="00AD02E3" w:rsidP="00AD02E3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реализации мероприятий программы предполагается достигнуть уровня благоустройства, соответствующего современным требованиям Правил благоустройства МО «Подгорновское». </w:t>
      </w:r>
    </w:p>
    <w:p w:rsidR="00AD02E3" w:rsidRPr="00AD02E3" w:rsidRDefault="00AD02E3" w:rsidP="00AD02E3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1) Количество благоустроенных общественных территорий от общего количества  территорий;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2) Количество граждан</w:t>
      </w:r>
      <w:r w:rsidR="00030D1C">
        <w:rPr>
          <w:rFonts w:ascii="Times New Roman" w:eastAsia="Calibri" w:hAnsi="Times New Roman" w:cs="Times New Roman"/>
          <w:sz w:val="24"/>
          <w:szCs w:val="24"/>
          <w:lang w:eastAsia="ru-RU"/>
        </w:rPr>
        <w:t>, организаций различных форм собственности,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принявших участие в финансировании реализации мероприятий программы;</w:t>
      </w:r>
    </w:p>
    <w:p w:rsidR="00AD02E3" w:rsidRPr="00AD02E3" w:rsidRDefault="00AD02E3" w:rsidP="00AD02E3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Количество граждан, </w:t>
      </w:r>
      <w:r w:rsidR="00030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организаций различных форм собственности,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принявших участие в проведении работ по реализации мероприятий программы.</w:t>
      </w:r>
    </w:p>
    <w:p w:rsidR="00AD02E3" w:rsidRPr="00AD02E3" w:rsidRDefault="00AD02E3" w:rsidP="00AD02E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значениях целевых показателей по годам реализации муниципальной программы представлены в </w:t>
      </w:r>
      <w:r w:rsidRPr="00AD02E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Приложении 2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4.Сроки и этапы реализации подпрограммы.</w:t>
      </w:r>
    </w:p>
    <w:p w:rsidR="00AD02E3" w:rsidRPr="00AD02E3" w:rsidRDefault="00AD02E3" w:rsidP="00AD02E3">
      <w:pPr>
        <w:keepNext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реализуется в 2018-2022 годы.</w:t>
      </w:r>
    </w:p>
    <w:p w:rsidR="00AD02E3" w:rsidRPr="00AD02E3" w:rsidRDefault="00AD02E3" w:rsidP="00AD02E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Этапы реализации программы не выделяются.</w:t>
      </w:r>
    </w:p>
    <w:p w:rsidR="00AD02E3" w:rsidRPr="00AD02E3" w:rsidRDefault="00AD02E3" w:rsidP="00AD02E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5.Объем средств, необходимых на реализацию программы.</w:t>
      </w:r>
    </w:p>
    <w:p w:rsidR="00AD02E3" w:rsidRPr="00AD02E3" w:rsidRDefault="00AD02E3" w:rsidP="00AD02E3">
      <w:pPr>
        <w:keepNext/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Источниками ресурсного обеспечения программы являются средства бюджета, в том числе:</w:t>
      </w:r>
    </w:p>
    <w:p w:rsidR="00AD02E3" w:rsidRPr="00AD02E3" w:rsidRDefault="00AD02E3" w:rsidP="00AD02E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из бюджета Российской Федерации – на реализацию приоритетного проекта «Формирование современной городской среды»;</w:t>
      </w:r>
    </w:p>
    <w:p w:rsidR="00AD02E3" w:rsidRPr="00AD02E3" w:rsidRDefault="00AD02E3" w:rsidP="00AD02E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из бюджета Удмуртской Республики – расходы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муниципальных территорий общего пользования);</w:t>
      </w:r>
    </w:p>
    <w:p w:rsidR="00AD02E3" w:rsidRPr="00AD02E3" w:rsidRDefault="00AD02E3" w:rsidP="00AD02E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собственные средства бюджета Киясовского района;</w:t>
      </w:r>
    </w:p>
    <w:p w:rsidR="00AD02E3" w:rsidRPr="00AD02E3" w:rsidRDefault="00AD02E3" w:rsidP="00AD02E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собственников (физических, юридических лиц, индивидуальных предпринимателей.</w:t>
      </w:r>
      <w:proofErr w:type="gramEnd"/>
    </w:p>
    <w:tbl>
      <w:tblPr>
        <w:tblW w:w="7680" w:type="dxa"/>
        <w:tblInd w:w="3" w:type="dxa"/>
        <w:tblLayout w:type="fixed"/>
        <w:tblLook w:val="00A0"/>
      </w:tblPr>
      <w:tblGrid>
        <w:gridCol w:w="5695"/>
        <w:gridCol w:w="992"/>
        <w:gridCol w:w="993"/>
      </w:tblGrid>
      <w:tr w:rsidR="00AD02E3" w:rsidRPr="00AD02E3" w:rsidTr="00030D1C">
        <w:trPr>
          <w:trHeight w:val="300"/>
        </w:trPr>
        <w:tc>
          <w:tcPr>
            <w:tcW w:w="5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D02E3" w:rsidRPr="00AD02E3" w:rsidRDefault="00AD02E3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AD02E3" w:rsidRPr="00AD02E3" w:rsidRDefault="00AD02E3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  <w:hideMark/>
          </w:tcPr>
          <w:p w:rsidR="00AD02E3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AD02E3" w:rsidRPr="00AD02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30D1C" w:rsidRPr="00AD02E3" w:rsidTr="001F0808">
        <w:trPr>
          <w:trHeight w:val="300"/>
        </w:trPr>
        <w:tc>
          <w:tcPr>
            <w:tcW w:w="56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Киясовского района,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1F0808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Ориентировочно 450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Ориентировочно 450</w:t>
            </w:r>
          </w:p>
        </w:tc>
      </w:tr>
      <w:tr w:rsidR="00030D1C" w:rsidRPr="00AD02E3" w:rsidTr="001F0808">
        <w:trPr>
          <w:trHeight w:val="72"/>
        </w:trPr>
        <w:tc>
          <w:tcPr>
            <w:tcW w:w="569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D1C" w:rsidRPr="00AD02E3" w:rsidTr="001F0808">
        <w:trPr>
          <w:trHeight w:val="216"/>
        </w:trPr>
        <w:tc>
          <w:tcPr>
            <w:tcW w:w="569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D1C" w:rsidRPr="00AD02E3" w:rsidTr="001F0808">
        <w:trPr>
          <w:trHeight w:val="156"/>
        </w:trPr>
        <w:tc>
          <w:tcPr>
            <w:tcW w:w="569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Субсидии из бюджета РФ, тыс. </w:t>
            </w:r>
            <w:proofErr w:type="spellStart"/>
            <w:r w:rsidRPr="00AD02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D1C" w:rsidRPr="00AD02E3" w:rsidTr="001F0808">
        <w:trPr>
          <w:trHeight w:val="132"/>
        </w:trPr>
        <w:tc>
          <w:tcPr>
            <w:tcW w:w="569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Субсидии из бюджета УР, тыс. </w:t>
            </w:r>
            <w:proofErr w:type="spellStart"/>
            <w:r w:rsidRPr="00AD02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D1C" w:rsidRPr="00AD02E3" w:rsidTr="00030D1C">
        <w:trPr>
          <w:trHeight w:val="132"/>
        </w:trPr>
        <w:tc>
          <w:tcPr>
            <w:tcW w:w="569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Собственные средства,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≥25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≥25</w:t>
            </w:r>
          </w:p>
        </w:tc>
      </w:tr>
      <w:tr w:rsidR="00030D1C" w:rsidRPr="00AD02E3" w:rsidTr="00030D1C">
        <w:trPr>
          <w:trHeight w:val="132"/>
        </w:trPr>
        <w:tc>
          <w:tcPr>
            <w:tcW w:w="5695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≥25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9C00F9" w:rsidP="00AD02E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≥</w:t>
            </w:r>
            <w:r w:rsidR="00030D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030D1C" w:rsidRPr="00AD02E3" w:rsidTr="00030D1C">
        <w:trPr>
          <w:trHeight w:val="229"/>
        </w:trPr>
        <w:tc>
          <w:tcPr>
            <w:tcW w:w="5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30D1C" w:rsidRPr="00AD02E3" w:rsidRDefault="00030D1C" w:rsidP="00AD02E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Прочие средства (средства собственников), 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0D1C" w:rsidRPr="00AD02E3" w:rsidRDefault="00030D1C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030D1C" w:rsidRPr="00AD02E3" w:rsidRDefault="00030D1C" w:rsidP="00AD02E3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D02E3" w:rsidRPr="00AD02E3" w:rsidRDefault="00AD02E3" w:rsidP="00AD02E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Порядок аккумулирования и расходования денежных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</w:rPr>
        <w:t>средств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 заинтересованных лиц утвержден постановлением Администрации МО «Подгорновское" от 30.08.2017 года «Об утверждении Порядка аккумулирования и расходования денежных средств заинтересованных лиц, направляемых на выполнение перечней работ по благоустройству общественных территорий в рамках реализации муниципальной программы «Формирование современной городской среды на 2018-2022 год».</w:t>
      </w:r>
    </w:p>
    <w:p w:rsidR="00AD02E3" w:rsidRPr="00AD02E3" w:rsidRDefault="00AD02E3" w:rsidP="00AD02E3">
      <w:pPr>
        <w:keepNext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Ресурсное обеспечение программы за счет средств бюджета МО «Подгорновское» Киясовского района сформировано:</w:t>
      </w:r>
    </w:p>
    <w:p w:rsidR="00AD02E3" w:rsidRPr="00AD02E3" w:rsidRDefault="00AD02E3" w:rsidP="00AD02E3">
      <w:pPr>
        <w:suppressLineNumber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на 2017 год и 2018-2019 годы – в соответствии с решением Совета депутатов МО</w:t>
      </w:r>
      <w:r w:rsidR="009C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«Подгорновское» от 22.12.2016 года №11 «О бюджете муниципального образования «Подгорновское» на 2017  год и на плановый период 2018 и 2019 годов». Ресурсное </w:t>
      </w:r>
      <w:r w:rsidRPr="00AD02E3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программы за счет средств бюджета Киясовского района  и средств бюджета Удмуртской Республики, бюджета Российской Федерации подлежит уточнению в рамках бюджетного цикла.</w:t>
      </w:r>
      <w:r w:rsidRPr="00AD02E3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обеспечение реализации программы за счет средств бюджета представлено в </w:t>
      </w:r>
      <w:r w:rsidRPr="00AD02E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приложении 5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программе.</w:t>
      </w:r>
      <w:r w:rsidRPr="00AD02E3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Pr="00AD02E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приложении 5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Взаимодействие с органами государственной власти и местного самоуправления, организациями и гражданами.</w:t>
      </w:r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осуществляется взаимодействие с органами государственной власти Удмуртской Республики. </w:t>
      </w:r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организации  благоустройства общественных территории  района осуществляется взаимодействие с организациями, индивидуальными предпринимателями и жителями района.</w:t>
      </w:r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требований муниципальных правовых актов, принятых органами местного самоуправления в сфере благоустройства, осуществляется во взаимодействии с председателями уличных комитетов, гражданами и общественными организациями.</w:t>
      </w:r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расходование средств направляемых на реализацию программы создана общественная комиссия, в состав которой включены  представители политических партий, общественных объединений. (Порядок деятельности комисс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ии и ее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утверждены Постановление администрации МО «Подгорновское" от 31.08.2017 года №33 «Об утверждении порядка общественного обсуждения муниципальной программы «Формирование современной городской среды на 2018-2022 годы» на террито</w:t>
      </w:r>
      <w:r w:rsidR="009C00F9">
        <w:rPr>
          <w:rFonts w:ascii="Times New Roman" w:eastAsia="Calibri" w:hAnsi="Times New Roman" w:cs="Times New Roman"/>
          <w:sz w:val="24"/>
          <w:szCs w:val="24"/>
          <w:lang w:eastAsia="ru-RU"/>
        </w:rPr>
        <w:t>рии МО «Подгорновское»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(муниципального) заказа. </w:t>
      </w:r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Для взаимодействия с населением планируются следующие мероприятия:</w:t>
      </w:r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4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собраний с жителями  с. Подгорное по поводу готовности  участвовать в благоустройстве общественных территорий.</w:t>
      </w:r>
      <w:proofErr w:type="gramEnd"/>
    </w:p>
    <w:p w:rsidR="00AD02E3" w:rsidRPr="00AD02E3" w:rsidRDefault="00AD02E3" w:rsidP="00AD02E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общественных обсуждений проектов благоустройства общественных территорий на 2018-2022 годы (Порядок общественного обсуждения  дизайн-проекта благоустройства общественной территории МО «Подгорновское</w:t>
      </w:r>
      <w:proofErr w:type="gramEnd"/>
    </w:p>
    <w:p w:rsidR="00AD02E3" w:rsidRPr="00AD02E3" w:rsidRDefault="00AD02E3" w:rsidP="00AD02E3">
      <w:pPr>
        <w:keepNext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опрос общественного мнения по поводу очередности реализации мероприятий по благоустройству общественных территорий,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средством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официального сайта органов местного самоуправления Киясовского района</w:t>
      </w:r>
      <w:r w:rsidR="00C53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4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Официальная страница редакции районной газеты «Знамя труда» </w:t>
      </w:r>
      <w:proofErr w:type="spellStart"/>
      <w:r w:rsidR="00145C6F">
        <w:rPr>
          <w:rFonts w:ascii="Times New Roman" w:eastAsia="Calibri" w:hAnsi="Times New Roman" w:cs="Times New Roman"/>
          <w:sz w:val="24"/>
          <w:szCs w:val="24"/>
          <w:lang w:eastAsia="ru-RU"/>
        </w:rPr>
        <w:t>Киясово</w:t>
      </w:r>
      <w:proofErr w:type="spellEnd"/>
      <w:r w:rsidR="0014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5C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online</w:t>
      </w:r>
      <w:r w:rsidR="00145C6F" w:rsidRPr="0014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5C6F">
        <w:rPr>
          <w:rFonts w:ascii="Times New Roman" w:eastAsia="Calibri" w:hAnsi="Times New Roman" w:cs="Times New Roman"/>
          <w:sz w:val="24"/>
          <w:szCs w:val="24"/>
          <w:lang w:eastAsia="ru-RU"/>
        </w:rPr>
        <w:t>опрос по благоустройству от 25 июля 2017г.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D02E3" w:rsidRPr="00AD02E3" w:rsidRDefault="00C5343F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AD02E3"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общественного обсуждения проекта подпрограммы «Формирование современной городской среды на 2018-2022 годы» муниципального образования «Подгорновское»;</w:t>
      </w:r>
    </w:p>
    <w:p w:rsidR="00AD02E3" w:rsidRPr="00AD02E3" w:rsidRDefault="00AD02E3" w:rsidP="00145C6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личный прием граждан по вопросам благоустройства Главой МО «Киясовский район», главой МО «</w:t>
      </w:r>
      <w:r w:rsidR="00145C6F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Подгорновское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», заместителем главы Администрации района по строительству, ЖКХ и связи;</w:t>
      </w:r>
    </w:p>
    <w:p w:rsidR="00AD02E3" w:rsidRPr="00AD02E3" w:rsidRDefault="00AD02E3" w:rsidP="00145C6F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прием, рассмотрение письменных обращений граждан, в том числе через Интернет-приемную</w:t>
      </w:r>
      <w:r w:rsidR="00145C6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рассмотрения обращений граждан принимаются меры реагирования.</w:t>
      </w:r>
    </w:p>
    <w:p w:rsidR="00AD02E3" w:rsidRPr="00AD02E3" w:rsidRDefault="00AD02E3" w:rsidP="00AD02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7. Риски и меры по управлению рисками.</w:t>
      </w:r>
    </w:p>
    <w:p w:rsidR="00AD02E3" w:rsidRPr="00AD02E3" w:rsidRDefault="00AD02E3" w:rsidP="00AD02E3">
      <w:pPr>
        <w:keepNext/>
        <w:shd w:val="clear" w:color="auto" w:fill="FFFFFF"/>
        <w:tabs>
          <w:tab w:val="left" w:pos="1276"/>
        </w:tabs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1.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 риски.</w:t>
      </w:r>
    </w:p>
    <w:p w:rsidR="00AD02E3" w:rsidRPr="00AD02E3" w:rsidRDefault="00AD02E3" w:rsidP="00AD02E3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дств в х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оде реализации мероприятий программы. Для управления риском:</w:t>
      </w:r>
    </w:p>
    <w:p w:rsidR="00AD02E3" w:rsidRPr="00AD02E3" w:rsidRDefault="00AD02E3" w:rsidP="00145C6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требуемые объемы бюджетного финансирования обосновываются в рамках бюджетного цикла, проводится оценка потребности в выполнении работ;</w:t>
      </w:r>
    </w:p>
    <w:p w:rsidR="00AD02E3" w:rsidRPr="00AD02E3" w:rsidRDefault="00AD02E3" w:rsidP="00145C6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о бюджете Киясовского района устанавливаются ограничения по авансовым платежам при заключении муниципальных контрактов (договоров); </w:t>
      </w:r>
    </w:p>
    <w:p w:rsidR="00AD02E3" w:rsidRPr="00AD02E3" w:rsidRDefault="00AD02E3" w:rsidP="00145C6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D02E3" w:rsidRPr="00AD02E3" w:rsidRDefault="00AD02E3" w:rsidP="00145C6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AD02E3" w:rsidRPr="00AD02E3" w:rsidRDefault="00AD02E3" w:rsidP="00145C6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Организационно-управленческие риски.</w:t>
      </w:r>
    </w:p>
    <w:p w:rsidR="00AD02E3" w:rsidRPr="00AD02E3" w:rsidRDefault="00AD02E3" w:rsidP="00AD02E3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группа рисков связана с необходимостью вовлечения в процесс санитарной уборки и благоустройства территории района многих участников: организаций различных форм собственности, индивидуальных предпринимателей, жителей района.</w:t>
      </w:r>
    </w:p>
    <w:p w:rsidR="00AD02E3" w:rsidRPr="00AD02E3" w:rsidRDefault="00AD02E3" w:rsidP="00AD02E3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минимизации данных рисков:</w:t>
      </w:r>
    </w:p>
    <w:p w:rsidR="00AD02E3" w:rsidRPr="00AD02E3" w:rsidRDefault="00AD02E3" w:rsidP="00145C6F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будет осуществляться составление планов работ,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подпрограммы и достижение целевых показателей (индикаторов) программы.</w:t>
      </w:r>
    </w:p>
    <w:p w:rsidR="00AD02E3" w:rsidRPr="00AD02E3" w:rsidRDefault="00AD02E3" w:rsidP="0020306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0" w:lineRule="atLeast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 риски.</w:t>
      </w:r>
    </w:p>
    <w:p w:rsidR="00AD02E3" w:rsidRPr="00AD02E3" w:rsidRDefault="00AD02E3" w:rsidP="0020306A">
      <w:pPr>
        <w:shd w:val="clear" w:color="auto" w:fill="FFFFFF"/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Данные риски связаны с низкой социальной активностью населения, отсутствием массовой культуры участия в работах по благоустройству общественных территорий.</w:t>
      </w:r>
    </w:p>
    <w:p w:rsidR="00AD02E3" w:rsidRPr="00AD02E3" w:rsidRDefault="00AD02E3" w:rsidP="0020306A">
      <w:pPr>
        <w:shd w:val="clear" w:color="auto" w:fill="FFFFFF"/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минимизации рисков:</w:t>
      </w:r>
    </w:p>
    <w:p w:rsidR="00AD02E3" w:rsidRPr="00AD02E3" w:rsidRDefault="00AD02E3" w:rsidP="0020306A">
      <w:pPr>
        <w:shd w:val="clear" w:color="auto" w:fill="FFFFFF"/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будет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осуществятся  взаимодействие с населением, а именно проводиться собрания жителей, публичное обсуждение проектов благоустройства. Проведены предварительно собрания жителей, с целью изучить их готовность к участию в реализации мероприятий программы.</w:t>
      </w:r>
    </w:p>
    <w:p w:rsidR="00AD02E3" w:rsidRPr="00AD02E3" w:rsidRDefault="00AD02E3" w:rsidP="0020306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0" w:lineRule="atLeast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Неблагоприятные погодные условия, природные чрезвычайные ситуации.</w:t>
      </w:r>
    </w:p>
    <w:p w:rsidR="00AD02E3" w:rsidRPr="00AD02E3" w:rsidRDefault="00AD02E3" w:rsidP="00AD02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На сохранность и безопасность зеленых насаждений могут повлиять неблагоприятные погодные условия, природные чрезвычайные ситуации, такие как ураганы, аномальные холода и т.п.</w:t>
      </w:r>
    </w:p>
    <w:p w:rsidR="00AD02E3" w:rsidRPr="00AD02E3" w:rsidRDefault="00AD02E3" w:rsidP="00AD02E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минимизации риска, а также оперативной ликвидации последствий аварий и нарушений в системах жизнеобеспечения:</w:t>
      </w:r>
    </w:p>
    <w:p w:rsidR="00AD02E3" w:rsidRPr="00AD02E3" w:rsidRDefault="00AD02E3" w:rsidP="0020306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производится ликвидация аварийных деревьев;</w:t>
      </w:r>
    </w:p>
    <w:p w:rsidR="00AD02E3" w:rsidRPr="00AD02E3" w:rsidRDefault="00AD02E3" w:rsidP="0020306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реализуется комплекс мер по подготовке к работе в отопительный период;</w:t>
      </w:r>
    </w:p>
    <w:p w:rsidR="00AD02E3" w:rsidRPr="00AD02E3" w:rsidRDefault="00AD02E3" w:rsidP="0020306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формируется резерв оборудования, материалов и запасных частей для оперативной ликвидации возможных аварий и нарушений в системах жизнеобеспечения;</w:t>
      </w:r>
    </w:p>
    <w:p w:rsidR="00AD02E3" w:rsidRPr="00AD02E3" w:rsidRDefault="00AD02E3" w:rsidP="0020306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проводятся противоаварийные тренировки с целью предотвращения аварийных ситуаций.</w:t>
      </w:r>
    </w:p>
    <w:p w:rsidR="00AD02E3" w:rsidRPr="00AD02E3" w:rsidRDefault="00AD02E3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2E3" w:rsidRPr="00AD02E3" w:rsidRDefault="00AD02E3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Мероприятия по утверждению  муниципальной программы формирования современной городской среды на 2018-2022 годы.</w:t>
      </w:r>
    </w:p>
    <w:p w:rsidR="00AD02E3" w:rsidRPr="00AD02E3" w:rsidRDefault="00AD02E3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 «Подгорновское» не позднее 01.09.2017 года разработать муниципальную подпрограмму «Формирование современной городской среды на 2018-2022 годы» муниципального образования «Киясовский район»;</w:t>
      </w:r>
    </w:p>
    <w:p w:rsidR="00AD02E3" w:rsidRPr="00AD02E3" w:rsidRDefault="00AD02E3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с 01.09.2017года по 01.10.2017 года провести общественные обсуждения муниципальной программы «Формирование современной городской среды» с населением района;</w:t>
      </w:r>
    </w:p>
    <w:p w:rsidR="00AD02E3" w:rsidRPr="00AD02E3" w:rsidRDefault="00AD02E3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с 01.05.2017года  по 20.05.2017года провести корректировку подпрограммы по результатам общественных обсуждений;</w:t>
      </w:r>
    </w:p>
    <w:p w:rsidR="00AD02E3" w:rsidRPr="00AD02E3" w:rsidRDefault="00AD02E3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25.05.2017 года утвердить муниципальную подпрограмму «Формирование современной городской среды на 2018-2022 годы» муниципального образования «Подгорновское», направить копию подпрограммы в Министерство энергетики, жилищно-коммунального хозяйства и регулирования тарифов Удмуртской Республики.</w:t>
      </w:r>
    </w:p>
    <w:p w:rsidR="00AD02E3" w:rsidRPr="00AD02E3" w:rsidRDefault="00AD02E3" w:rsidP="00AD02E3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2E3" w:rsidRPr="00AD02E3" w:rsidRDefault="00AD02E3" w:rsidP="00AD02E3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9.Основные мероприятия подпрограммы.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осуществлять следующие основные мероприятия: </w:t>
      </w:r>
    </w:p>
    <w:tbl>
      <w:tblPr>
        <w:tblW w:w="0" w:type="auto"/>
        <w:tblLook w:val="04A0"/>
      </w:tblPr>
      <w:tblGrid>
        <w:gridCol w:w="2481"/>
        <w:gridCol w:w="3900"/>
        <w:gridCol w:w="3190"/>
      </w:tblGrid>
      <w:tr w:rsidR="00AD02E3" w:rsidRPr="00AD02E3" w:rsidTr="00AD02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</w:t>
            </w:r>
          </w:p>
        </w:tc>
      </w:tr>
      <w:tr w:rsidR="00AD02E3" w:rsidRPr="00AD02E3" w:rsidTr="00AD02E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территории муниципального образования «Подгорновское»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1.Приведение в соответствие Методическим рекомендациям Минстроя России Правил благоустройства МО «Подгорновское» </w:t>
            </w:r>
          </w:p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2.Проведение ежегодных субботников с участием жителей  </w:t>
            </w:r>
            <w:proofErr w:type="gramStart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. Подгорное.</w:t>
            </w:r>
          </w:p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3.Проведение собраний с жителями </w:t>
            </w:r>
            <w:proofErr w:type="gramStart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. Подгорное.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</w:rPr>
              <w:t>1. Соответствие Правил благоустройства МО «Подгорновское» в соответствие с Методическими рекомендациями Минстроя России. Правила должны  предусматривать порядок вовлечения граждан в реализацию проектов по благоустройству.</w:t>
            </w:r>
          </w:p>
          <w:p w:rsidR="00AD02E3" w:rsidRPr="00AD02E3" w:rsidRDefault="00AD02E3" w:rsidP="00AD02E3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sz w:val="24"/>
          <w:szCs w:val="24"/>
        </w:rPr>
        <w:t>Адресный список общественных территорий подлежащих благоустройству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В 2018-20022 году планируется осуществить работы по благоустройству следующих общественных территорий:</w:t>
      </w:r>
    </w:p>
    <w:p w:rsidR="00AD02E3" w:rsidRPr="00AD02E3" w:rsidRDefault="00AD02E3" w:rsidP="00AD02E3">
      <w:pPr>
        <w:keepNext/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>стадион с.</w:t>
      </w:r>
      <w:r w:rsidR="00203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</w:rPr>
        <w:t>Подгорное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</w:rPr>
        <w:t>, Киясовского района УР.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На данной общественной территории планируется асфальтированная беговая дорожка 350х4 м., </w:t>
      </w:r>
      <w:r w:rsidR="0020306A"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AD02E3">
        <w:rPr>
          <w:rFonts w:ascii="Times New Roman" w:eastAsia="Calibri" w:hAnsi="Times New Roman" w:cs="Times New Roman"/>
          <w:sz w:val="24"/>
          <w:szCs w:val="24"/>
        </w:rPr>
        <w:t>осветительные мач</w:t>
      </w:r>
      <w:r w:rsidR="0020306A">
        <w:rPr>
          <w:rFonts w:ascii="Times New Roman" w:eastAsia="Calibri" w:hAnsi="Times New Roman" w:cs="Times New Roman"/>
          <w:sz w:val="24"/>
          <w:szCs w:val="24"/>
        </w:rPr>
        <w:t>ты высотой 5м., скамейки 10 шт.</w:t>
      </w:r>
      <w:r w:rsidRPr="00AD02E3">
        <w:rPr>
          <w:rFonts w:ascii="Times New Roman" w:eastAsia="Calibri" w:hAnsi="Times New Roman" w:cs="Times New Roman"/>
          <w:sz w:val="24"/>
          <w:szCs w:val="24"/>
        </w:rPr>
        <w:t>, площадка для игры в городки, сц</w:t>
      </w:r>
      <w:r w:rsidR="0020306A">
        <w:rPr>
          <w:rFonts w:ascii="Times New Roman" w:eastAsia="Calibri" w:hAnsi="Times New Roman" w:cs="Times New Roman"/>
          <w:sz w:val="24"/>
          <w:szCs w:val="24"/>
        </w:rPr>
        <w:t>ена 6х4 м., ландшафтные работы,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20306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детская </w:t>
      </w:r>
      <w:r w:rsidR="0020306A">
        <w:rPr>
          <w:rFonts w:ascii="Times New Roman" w:eastAsia="Calibri" w:hAnsi="Times New Roman" w:cs="Times New Roman"/>
          <w:sz w:val="24"/>
          <w:szCs w:val="24"/>
        </w:rPr>
        <w:t>игровая п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лощадка, </w:t>
      </w:r>
      <w:r w:rsidR="0020306A">
        <w:rPr>
          <w:rFonts w:ascii="Times New Roman" w:eastAsia="Calibri" w:hAnsi="Times New Roman" w:cs="Times New Roman"/>
          <w:sz w:val="24"/>
          <w:szCs w:val="24"/>
        </w:rPr>
        <w:t>обустройство ограждения, подъездных путей и парковочных мест.</w:t>
      </w:r>
    </w:p>
    <w:p w:rsidR="00AD02E3" w:rsidRPr="00AD02E3" w:rsidRDefault="00AD02E3" w:rsidP="00AD02E3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 Конечные результаты и оценка эффективности.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направлена на создание комфортной, безопасной и  эстетически привлекательной городской среды.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1) Повышение уровня благоустройства общественных территорий (стадиона, детской площадки);</w:t>
      </w:r>
    </w:p>
    <w:p w:rsidR="00AD02E3" w:rsidRPr="00AD02E3" w:rsidRDefault="00AD02E3" w:rsidP="00AD02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203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0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уровня заинтересованности граждан, организаций, индивидуальных предпринимателей в реализации мероприятий по благоустройству общественных территорий в муниципальном образований «Подгорновское» Удмуртской Республики. </w:t>
      </w: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1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 xml:space="preserve">к программе  «Формирование  комфортной городской среды 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>на 2018-2022 годы» на территории МО «Подгорновское»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02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 муниципальной подпрограммы «Формирование современной городской среды на 2018-2022 годы» на территории муниципального образования «Подгорновское»  Удмуртской Республики на 2018-2022 годы.</w:t>
      </w:r>
    </w:p>
    <w:tbl>
      <w:tblPr>
        <w:tblW w:w="98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9"/>
        <w:gridCol w:w="7903"/>
      </w:tblGrid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2018-2022 год»  на территории МО «Подгорновское»</w:t>
            </w:r>
          </w:p>
        </w:tc>
      </w:tr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«Подгорновское», Отдел строительства, архитектуры и ЖКХ Администрации МО «Киясовский район»</w:t>
            </w:r>
          </w:p>
        </w:tc>
      </w:tr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образование «Подгорновское»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предприниматели.</w:t>
            </w:r>
          </w:p>
        </w:tc>
      </w:tr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комфортной среды для проживания граждан.</w:t>
            </w:r>
          </w:p>
        </w:tc>
      </w:tr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Повышение уровня благоустройства общественных территорий (стадиона, детской площадки)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2)Повышение уровня заинтересованности граждан, организаций в реализации мероприятий по благоустройству территорий муниципального образования «Подгорновское » Удмуртской Республики.</w:t>
            </w:r>
          </w:p>
        </w:tc>
      </w:tr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(индикаторы) показатели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Количество благоустроенных общественных территорий от общего количества общественных территорий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Количество граждан принявших участие в финансировании реализации мероприятий программы.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Количество граждан, принявших участие в проведении работ по реализации мероприятий программы.</w:t>
            </w:r>
          </w:p>
        </w:tc>
      </w:tr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– 2018-2022 годы.</w:t>
            </w:r>
          </w:p>
          <w:p w:rsidR="00AD02E3" w:rsidRPr="00AD02E3" w:rsidRDefault="00AD02E3" w:rsidP="00AD02E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AD02E3" w:rsidRPr="00AD02E3" w:rsidTr="00AD02E3">
        <w:trPr>
          <w:trHeight w:val="178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2018-2022 годы за счет средств бюджета составит </w:t>
            </w:r>
          </w:p>
          <w:p w:rsidR="00AD02E3" w:rsidRPr="00AD02E3" w:rsidRDefault="0020306A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рублей за 1 жителя с. Подгорное (1500 чел.), что составляет ориентировочно 2250</w:t>
            </w:r>
            <w:r w:rsidR="00AD02E3"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ресурсном обеспечении программы за счет средств бюджета по годам реализации муниципальной программы (в тыс. руб.):</w:t>
            </w:r>
          </w:p>
          <w:tbl>
            <w:tblPr>
              <w:tblW w:w="7680" w:type="dxa"/>
              <w:tblInd w:w="3" w:type="dxa"/>
              <w:tblLayout w:type="fixed"/>
              <w:tblLook w:val="00A0"/>
            </w:tblPr>
            <w:tblGrid>
              <w:gridCol w:w="5695"/>
              <w:gridCol w:w="992"/>
              <w:gridCol w:w="993"/>
            </w:tblGrid>
            <w:tr w:rsidR="00D32127" w:rsidRPr="00AD02E3" w:rsidTr="001F0808">
              <w:trPr>
                <w:trHeight w:val="300"/>
              </w:trPr>
              <w:tc>
                <w:tcPr>
                  <w:tcW w:w="56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  <w:hideMark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02E3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  <w:hideMark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2018</w:t>
                  </w:r>
                  <w:r w:rsidRPr="00AD02E3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</w:tc>
            </w:tr>
            <w:tr w:rsidR="00D32127" w:rsidRPr="00AD02E3" w:rsidTr="001F0808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  <w:hideMark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02E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Бюджет Киясовского района, тыс. руб.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Ориентировочно 450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Ориентировочно 450</w:t>
                  </w:r>
                </w:p>
              </w:tc>
            </w:tr>
            <w:tr w:rsidR="00D32127" w:rsidRPr="00AD02E3" w:rsidTr="001F0808">
              <w:trPr>
                <w:trHeight w:val="72"/>
              </w:trPr>
              <w:tc>
                <w:tcPr>
                  <w:tcW w:w="5695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2127" w:rsidRPr="00AD02E3" w:rsidTr="001F0808">
              <w:trPr>
                <w:trHeight w:val="216"/>
              </w:trPr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2127" w:rsidRPr="00AD02E3" w:rsidTr="001F0808">
              <w:trPr>
                <w:trHeight w:val="156"/>
              </w:trPr>
              <w:tc>
                <w:tcPr>
                  <w:tcW w:w="5695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auto" w:fill="FFFFFF"/>
                  <w:vAlign w:val="center"/>
                  <w:hideMark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02E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из бюджета РФ, тыс. </w:t>
                  </w:r>
                  <w:proofErr w:type="spellStart"/>
                  <w:r w:rsidRPr="00AD02E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992" w:type="dxa"/>
                  <w:vMerge/>
                  <w:tcBorders>
                    <w:left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2127" w:rsidRPr="00AD02E3" w:rsidTr="001F0808">
              <w:trPr>
                <w:trHeight w:val="132"/>
              </w:trPr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  <w:hideMark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02E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из бюджета УР, тыс. </w:t>
                  </w:r>
                  <w:proofErr w:type="spellStart"/>
                  <w:r w:rsidRPr="00AD02E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2127" w:rsidRPr="00AD02E3" w:rsidTr="001F0808">
              <w:trPr>
                <w:trHeight w:val="132"/>
              </w:trPr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  <w:hideMark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02E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средства,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≥25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≥25</w:t>
                  </w:r>
                </w:p>
              </w:tc>
            </w:tr>
            <w:tr w:rsidR="00D32127" w:rsidRPr="00AD02E3" w:rsidTr="001F0808">
              <w:trPr>
                <w:trHeight w:val="132"/>
              </w:trPr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≥25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≥25</w:t>
                  </w:r>
                </w:p>
              </w:tc>
            </w:tr>
            <w:tr w:rsidR="00D32127" w:rsidRPr="00AD02E3" w:rsidTr="001F0808">
              <w:trPr>
                <w:trHeight w:val="229"/>
              </w:trPr>
              <w:tc>
                <w:tcPr>
                  <w:tcW w:w="569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  <w:hideMark/>
                </w:tcPr>
                <w:p w:rsidR="00D32127" w:rsidRPr="00AD02E3" w:rsidRDefault="00D32127" w:rsidP="001F0808">
                  <w:pPr>
                    <w:spacing w:after="0" w:line="2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02E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Прочие средства (средства собственников), тыс. руб.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noWrap/>
                  <w:vAlign w:val="center"/>
                </w:tcPr>
                <w:p w:rsidR="00D32127" w:rsidRPr="00AD02E3" w:rsidRDefault="00D32127" w:rsidP="001F0808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2127" w:rsidRPr="00AD02E3" w:rsidRDefault="00D32127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программы за счет средств бюджета МО «Подгорновское»  и средств бюджета Удмуртской Республики, бюджета Российской Федерации, подлежит уточнению в рамках бюджетного цикла.</w:t>
            </w:r>
          </w:p>
        </w:tc>
      </w:tr>
      <w:tr w:rsidR="00AD02E3" w:rsidRPr="00AD02E3" w:rsidTr="00AD02E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направлена на создание комфортной, безопасной и  эстетически привлекательной городской среды.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Повышение уровня благоустройства общественных территорий (стадиона, детской площадки).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2)Повышение уровня заинтересованности граждан, организаций, индивидуальных предпринимателей в реализации мероприятий по благоустройству территорий муниципального образования «Подгорновское»  Удмуртской Республики.</w:t>
            </w:r>
          </w:p>
          <w:p w:rsidR="00AD02E3" w:rsidRPr="00AD02E3" w:rsidRDefault="00AD02E3" w:rsidP="00AD02E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количественной оценки результатов реализации программы предусмотрена система целевых показателей (индикаторов) и их значений.</w:t>
            </w:r>
          </w:p>
        </w:tc>
      </w:tr>
    </w:tbl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D32127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Приложение </w:t>
      </w:r>
      <w:r w:rsidR="00406D72">
        <w:rPr>
          <w:rFonts w:ascii="Times New Roman" w:eastAsia="Calibri" w:hAnsi="Times New Roman" w:cs="Times New Roman"/>
          <w:sz w:val="16"/>
          <w:szCs w:val="16"/>
        </w:rPr>
        <w:t>4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 xml:space="preserve">к программе  «Формирование  комфортной городской среды 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>на 2018-2022 годы» на территории МО «Подгорновское»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02E3">
        <w:rPr>
          <w:rFonts w:ascii="Times New Roman" w:eastAsia="Calibri" w:hAnsi="Times New Roman" w:cs="Times New Roman"/>
          <w:b/>
          <w:sz w:val="24"/>
          <w:szCs w:val="24"/>
        </w:rPr>
        <w:t xml:space="preserve">Адресный список </w:t>
      </w:r>
      <w:r w:rsidR="00D32127">
        <w:rPr>
          <w:rFonts w:ascii="Times New Roman" w:eastAsia="Calibri" w:hAnsi="Times New Roman" w:cs="Times New Roman"/>
          <w:b/>
          <w:sz w:val="24"/>
          <w:szCs w:val="24"/>
        </w:rPr>
        <w:t>общественных</w:t>
      </w:r>
      <w:r w:rsidRPr="00AD02E3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территорий подлежащих благоустройству.</w:t>
      </w:r>
    </w:p>
    <w:p w:rsidR="00AD02E3" w:rsidRPr="00AD02E3" w:rsidRDefault="00AD02E3" w:rsidP="00AD02E3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2E3" w:rsidRPr="00AD02E3" w:rsidRDefault="00D32127" w:rsidP="00AD02E3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2018-2</w:t>
      </w:r>
      <w:r w:rsidR="00AD02E3" w:rsidRPr="00AD02E3">
        <w:rPr>
          <w:rFonts w:ascii="Times New Roman" w:eastAsia="Calibri" w:hAnsi="Times New Roman" w:cs="Times New Roman"/>
          <w:sz w:val="24"/>
          <w:szCs w:val="24"/>
        </w:rPr>
        <w:t>022 году планируется осуществить работы по благоустройству следующих общественных территорий:</w:t>
      </w:r>
    </w:p>
    <w:p w:rsidR="00D32127" w:rsidRPr="00AD02E3" w:rsidRDefault="00D32127" w:rsidP="00D32127">
      <w:pPr>
        <w:keepNext/>
        <w:autoSpaceDE w:val="0"/>
        <w:autoSpaceDN w:val="0"/>
        <w:adjustRightInd w:val="0"/>
        <w:spacing w:after="0" w:line="20" w:lineRule="atLeast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D02E3">
        <w:rPr>
          <w:rFonts w:ascii="Times New Roman" w:eastAsia="Calibri" w:hAnsi="Times New Roman" w:cs="Times New Roman"/>
          <w:sz w:val="24"/>
          <w:szCs w:val="24"/>
        </w:rPr>
        <w:t>стадион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02E3">
        <w:rPr>
          <w:rFonts w:ascii="Times New Roman" w:eastAsia="Calibri" w:hAnsi="Times New Roman" w:cs="Times New Roman"/>
          <w:sz w:val="24"/>
          <w:szCs w:val="24"/>
        </w:rPr>
        <w:t>Подгорное</w:t>
      </w:r>
      <w:proofErr w:type="gramEnd"/>
      <w:r w:rsidRPr="00AD02E3">
        <w:rPr>
          <w:rFonts w:ascii="Times New Roman" w:eastAsia="Calibri" w:hAnsi="Times New Roman" w:cs="Times New Roman"/>
          <w:sz w:val="24"/>
          <w:szCs w:val="24"/>
        </w:rPr>
        <w:t>, Киясовского района УР.</w:t>
      </w:r>
    </w:p>
    <w:p w:rsidR="00D32127" w:rsidRPr="00AD02E3" w:rsidRDefault="00D32127" w:rsidP="00D32127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На данной общественной территории планируется асфальтированная беговая дорожка 350х4 м.,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AD02E3">
        <w:rPr>
          <w:rFonts w:ascii="Times New Roman" w:eastAsia="Calibri" w:hAnsi="Times New Roman" w:cs="Times New Roman"/>
          <w:sz w:val="24"/>
          <w:szCs w:val="24"/>
        </w:rPr>
        <w:t>осветительные мач</w:t>
      </w:r>
      <w:r>
        <w:rPr>
          <w:rFonts w:ascii="Times New Roman" w:eastAsia="Calibri" w:hAnsi="Times New Roman" w:cs="Times New Roman"/>
          <w:sz w:val="24"/>
          <w:szCs w:val="24"/>
        </w:rPr>
        <w:t>ты высотой 5м., скамейки 10 шт.</w:t>
      </w:r>
      <w:r w:rsidRPr="00AD02E3">
        <w:rPr>
          <w:rFonts w:ascii="Times New Roman" w:eastAsia="Calibri" w:hAnsi="Times New Roman" w:cs="Times New Roman"/>
          <w:sz w:val="24"/>
          <w:szCs w:val="24"/>
        </w:rPr>
        <w:t>, площадка для игры в городки, сц</w:t>
      </w:r>
      <w:r>
        <w:rPr>
          <w:rFonts w:ascii="Times New Roman" w:eastAsia="Calibri" w:hAnsi="Times New Roman" w:cs="Times New Roman"/>
          <w:sz w:val="24"/>
          <w:szCs w:val="24"/>
        </w:rPr>
        <w:t>ена 6х4 м., ландшафтные работы,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детская </w:t>
      </w:r>
      <w:r>
        <w:rPr>
          <w:rFonts w:ascii="Times New Roman" w:eastAsia="Calibri" w:hAnsi="Times New Roman" w:cs="Times New Roman"/>
          <w:sz w:val="24"/>
          <w:szCs w:val="24"/>
        </w:rPr>
        <w:t>игровая п</w:t>
      </w:r>
      <w:r w:rsidRPr="00AD02E3">
        <w:rPr>
          <w:rFonts w:ascii="Times New Roman" w:eastAsia="Calibri" w:hAnsi="Times New Roman" w:cs="Times New Roman"/>
          <w:sz w:val="24"/>
          <w:szCs w:val="24"/>
        </w:rPr>
        <w:t xml:space="preserve">лощадка, </w:t>
      </w:r>
      <w:r>
        <w:rPr>
          <w:rFonts w:ascii="Times New Roman" w:eastAsia="Calibri" w:hAnsi="Times New Roman" w:cs="Times New Roman"/>
          <w:sz w:val="24"/>
          <w:szCs w:val="24"/>
        </w:rPr>
        <w:t>обустройство ограждения, подъездных путей и парковочных мест.</w:t>
      </w: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32127" w:rsidRPr="00AD02E3" w:rsidRDefault="00D32127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6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 xml:space="preserve">к программе  «Формирование  комфортной городской среды 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>на 2018-2022 годы на территории МО «Подгорновское»</w:t>
      </w: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 xml:space="preserve">Порядок </w:t>
      </w:r>
      <w:r w:rsidRPr="00AD02E3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D02E3"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  <w:t>аккумулирования и расходования денежных средств заинтересованных лиц, направляемых на выполнение минимального и дополнительного перечней работ по  благоустройству дворовых территорий в рамках осуществления мероприятий муниципальной программы «Формирование современной городской среды на 2018-2022 годы на территории МО «Подгорновское».</w:t>
      </w: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2E3" w:rsidRPr="00AD02E3" w:rsidRDefault="00AD02E3" w:rsidP="00AD02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и общественных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Pr="00AD02E3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в рамках осуществления мероприятий муниципальной программы «Формирование современной городской среды на 2018-2022 годы на территории</w:t>
      </w:r>
      <w:proofErr w:type="gramEnd"/>
      <w:r w:rsidRPr="00AD02E3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МО «Подгорновское»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, механизм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расходованием данных средств, а также устанавливает порядок и формы финансового участия граждан в выполнении указанных выше работ.</w:t>
      </w:r>
    </w:p>
    <w:p w:rsidR="00AD02E3" w:rsidRPr="00AD02E3" w:rsidRDefault="00AD02E3" w:rsidP="00AD02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и общественной территории, подлежащей благоустройству.</w:t>
      </w:r>
    </w:p>
    <w:p w:rsidR="00AD02E3" w:rsidRPr="00AD02E3" w:rsidRDefault="00AD02E3" w:rsidP="00AD02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D02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AD02E3">
        <w:rPr>
          <w:rFonts w:ascii="Times New Roman" w:eastAsia="Calibri" w:hAnsi="Times New Roman" w:cs="Times New Roman"/>
          <w:sz w:val="28"/>
          <w:szCs w:val="28"/>
        </w:rPr>
        <w:t>финансового</w:t>
      </w:r>
      <w:r w:rsidRPr="00AD02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общественных территорий в размере не менее 10 процентов от общего объема финансирования.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и общественных территорий, в том числе осуществление функций заказчика по выполнению работ, организация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AD02E3" w:rsidRPr="00AD02E3" w:rsidRDefault="00AD02E3" w:rsidP="00AD02E3">
      <w:pPr>
        <w:shd w:val="clear" w:color="auto" w:fill="FFFFFF"/>
        <w:spacing w:after="0" w:afterAutospacing="1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5. Организация трудового участия призвана обеспечить реализацию потребностей в благоустройстве соответствующих дворовых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Pr="00AD02E3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территориях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и целесообразности организации таких работ и осуществляется заинтересованными лицами в соответствии с решением общего собрания дворовая или общественная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подлежит благоустройству, оформленного соответствующим протоколом общего собрания, и не учитывается в объеме средств, финансируемых собственниками.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AD02E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AD02E3">
        <w:rPr>
          <w:rFonts w:ascii="Times New Roman" w:eastAsia="Calibri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и общественных территорий, в которых определяются порядок и сумма перечисления денежных средств заинтересованными лицами.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или общественной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>азрезе многоквартирных домов, дворовые территории и общественные территории, которые подлежат благоустройству.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</w:t>
      </w: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и общественные территории, которые подлежат благоустройству.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и общественные территории которые подлежат благоустройству, в адрес уполномоченной общественной комиссии.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финансирование минимального перечня работ по благоустройству дворовых и общественных территорий, включенного в дизайн-проект благоустройства дворовой и общественной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финансирование дополнительного перечня работ по благоустройству дворовых и общественных территорий, включенного в дизайн-проект благоустройства дворовой и общественной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домов, дворовые территории и общественные территории которые подлежат благоустройству.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 и общественных территорий, с лицами, которые уполномочены действовать от имени заинтересованных лиц.</w:t>
      </w:r>
      <w:proofErr w:type="gramEnd"/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 и общественных территорий,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D02E3">
        <w:rPr>
          <w:rFonts w:ascii="Times New Roman" w:eastAsia="Calibri" w:hAnsi="Times New Roman" w:cs="Times New Roman"/>
          <w:sz w:val="16"/>
          <w:szCs w:val="16"/>
        </w:rPr>
        <w:t>риложение</w:t>
      </w:r>
      <w:proofErr w:type="spellEnd"/>
      <w:r w:rsidRPr="00AD02E3">
        <w:rPr>
          <w:rFonts w:ascii="Times New Roman" w:eastAsia="Calibri" w:hAnsi="Times New Roman" w:cs="Times New Roman"/>
          <w:sz w:val="16"/>
          <w:szCs w:val="16"/>
        </w:rPr>
        <w:t xml:space="preserve"> 7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 xml:space="preserve">к программе  «Формирование  комфортной городской среды </w:t>
      </w:r>
    </w:p>
    <w:p w:rsidR="00AD02E3" w:rsidRPr="00AD02E3" w:rsidRDefault="00AD02E3" w:rsidP="00AD02E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E3">
        <w:rPr>
          <w:rFonts w:ascii="Times New Roman" w:eastAsia="Calibri" w:hAnsi="Times New Roman" w:cs="Times New Roman"/>
          <w:sz w:val="16"/>
          <w:szCs w:val="16"/>
        </w:rPr>
        <w:t>на 2018-2022 годы на территории МО «Подгорновское»</w:t>
      </w: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lastRenderedPageBreak/>
        <w:t xml:space="preserve">Порядок </w:t>
      </w:r>
      <w:r w:rsidRPr="00AD02E3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D02E3">
        <w:rPr>
          <w:rFonts w:ascii="Times New Roman" w:eastAsia="Calibri" w:hAnsi="Times New Roman" w:cs="Times New Roman"/>
          <w:b/>
          <w:sz w:val="28"/>
          <w:szCs w:val="28"/>
        </w:rPr>
        <w:t>разработки, обсуждения с заинтересованными лицами  и утверждения дизайн - проектов благоустройства  дворовой территории, включенной в муниципальную программу</w:t>
      </w:r>
      <w:r w:rsidRPr="00AD02E3"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  <w:t xml:space="preserve"> «Формирование современной городской среды на 2018-2022год на территории МО «Подгорновское».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numPr>
          <w:ilvl w:val="0"/>
          <w:numId w:val="14"/>
        </w:num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обсуждения и утверждения дизайн – проектов благоустройства дворовых территорий (далее по тексту – Порядок), разработан в рамках реализации приоритетного Проекта «Формирование современной городской среды» и муниципальной программы «Формирование современной городской среды на 2018-2022 годы» на территории МО «Подгорновское».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регламентирует системный подход к организации пространства населенных пунктов, комплексное благоустройство дворовых территорий многоквартирных домов, вовлечение горожан в обсуждение, разработку и утверждение проектов благоустройства дворовых территорий и территорий  общего пользования.   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состоит из разделов, приложений и регламентирует состав и разработку пакета документов для дальнейшей реализации мероприятий, обеспечивающих выполнение работ по благоустройству дворовых и общественных территорий.     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настоящего Порядка обязательно для субъектов городской среды принимающих участие в реализации Муниципальной программы формирования городской среды.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Порядка осуществляет Муниципальная Общественная комиссия, созданная постановлением администрации МО «Киясовское» от 30.06.2017 года № 63 «</w:t>
      </w:r>
      <w:r w:rsidRPr="00AD02E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 создании Общественной комиссии по реализации муниципальной программы «Формирование современной городской среды на 2018-2022 годы на территории МО Подгорновское» и утверждении Положения об её деятельности».</w:t>
      </w:r>
    </w:p>
    <w:p w:rsidR="00AD02E3" w:rsidRPr="00AD02E3" w:rsidRDefault="00AD02E3" w:rsidP="00AD02E3">
      <w:pPr>
        <w:numPr>
          <w:ilvl w:val="1"/>
          <w:numId w:val="14"/>
        </w:num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применения настоящего Порядка используются следующие термины и определения: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территорий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среда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документа понятие «городская среда» применяется как к городским, так и к сельским поселениям.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Газон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Дворовая  территория -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двора,  земельный участок многоквартирного дома, который является объектом благоустройства.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игровая площадка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(детская площадка)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благоустройства, площадка функционального назначения.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Заинтересованные лица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благоустройству, а также граждане, проживающие на территории данного населенного пункта.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тихого отдыха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 благоустройства, площадка функционального назначения. Специально оборудованная территория, на которой расположены малые архитектурные формы, озеленение, и предназначенная для отдыха.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развитие городской среды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идея, конструктивный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определяет стратегию действий.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Контейнерная площадка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– эпидемиологического благополучия населения и предназначенная для размещения контейнеров и бункеров. 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Малые архитектурные формы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элементы монументально-декоративного оформления, статуи, скульптуры (монументы), бюсты, триумфальные арки, ростральные колонны, триумфальные колонны, обелиски, мемориальные (памятные) доски и комплексы, стелы, устройства для оформления мобильного и</w:t>
      </w:r>
      <w:r w:rsidRPr="00AD02E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hyperlink r:id="rId6" w:anchor="3" w:history="1">
        <w:r w:rsidRPr="00AD02E3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вертикального озеленения</w:t>
        </w:r>
      </w:hyperlink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(трельяжи, шпалеры,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цветочницы, вазоны), городская мебель (различные виды скамей отдыха, размещаемые на территории общественных пространств, рекреаций и дворов,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скамей и столов - на площадках для настольных игр, летних кафе и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Общественные пространства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2E3">
        <w:rPr>
          <w:rFonts w:ascii="Times New Roman" w:eastAsia="Calibri" w:hAnsi="Times New Roman" w:cs="Times New Roman"/>
          <w:b/>
          <w:sz w:val="28"/>
          <w:szCs w:val="28"/>
        </w:rPr>
        <w:t xml:space="preserve">(территории общего пользования) 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это территории муниципального образования, которые постоянно доступны для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02E3">
        <w:rPr>
          <w:rFonts w:ascii="Times New Roman" w:eastAsia="Calibri" w:hAnsi="Times New Roman" w:cs="Times New Roman"/>
          <w:b/>
          <w:sz w:val="28"/>
          <w:szCs w:val="28"/>
        </w:rPr>
        <w:t>Объекты благоустройства территории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Озеленение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благоустройства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дворовых территорий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сообщество жителей многоквартирного дома (пенсионеры, взрослые, молодые люди, дети, собаководы, автомобилисты).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дорога, примыкающая к проезжим частям жилых и магистральных улиц, разворотным площадкам. Система транспортных коммуникаций, обеспечивающая транспортную связь между зданиями и участками внутри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кварталов, производственных и общественных зон, с улично-дорожной сетью населенного пункта. 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Парковка автомобилей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место, где транспортное средство можно перевести в нерабочее состояние и оставить на непродолжительное время.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для выгула домашних животных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 благоустройства, площадка функционального назначения. Специально оборудованная территории не менее 400 квадратных метров, с защитным ограждением средней высоты от 1,5 – 1,7 метра, по степени проницаемости – прозрачные (сетка). Площадки размещают от окон жилых и общественных зданий на расстоянии не менее 25 метров, до участков детских садов, школ, больниц, детских площадок на расстоянии не менее 40 метров. Покрытие газонное или песчаное, с установкой скамьи и урны.    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Развитие объекта благоустройства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b/>
          <w:sz w:val="28"/>
          <w:szCs w:val="28"/>
        </w:rPr>
        <w:t>Субъекты городской среды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площадка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благоустройства, площадка функционального назначения.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рукоходы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</w:p>
    <w:p w:rsidR="00AD02E3" w:rsidRPr="00AD02E3" w:rsidRDefault="00AD02E3" w:rsidP="00AD0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объекта благоустройства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Функциональное зонирование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02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это разделение участка на отдельные части, несущие определенную функциональную нагрузку, а также осуществление взаимосвязи этих зон между собой;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Функциональное освещение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 благоустройства, осветительное оборудование</w:t>
      </w:r>
      <w:r w:rsidRPr="00AD0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0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обеспечения безопасность передвижения в темноте, направленно на освещение функциональных зон, входов в подъезды. 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Эскизный проект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материалы,</w:t>
      </w: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характеристику объекта. Эскизный проект является частью технического задания для проектирования.</w:t>
      </w: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благоустройства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AD02E3" w:rsidRPr="00AD02E3" w:rsidRDefault="00AD02E3" w:rsidP="00AD02E3">
      <w:pPr>
        <w:spacing w:after="0" w:line="240" w:lineRule="auto"/>
        <w:ind w:left="555"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К элементам благоустройства территории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относятся</w:t>
      </w:r>
      <w:proofErr w:type="gramEnd"/>
      <w:r w:rsidRPr="00AD0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следующие элементы</w:t>
      </w: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пешеходные коммуникации (тротуары, дорожки, аллеи, тропинки).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технические зоны транспортных, инженерных коммуникаций, инженерные коммуникации,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площадки  различного функционального назначения: детские игровые, спортивные, для выгула и  дрессировки  собак, для отдыха, контейнерные площадки, площадки автопарковок, автостоянок и т.д.;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освещения и осветительное оборудование (функциональное, архитектурное освещение, световая информация, источники света, освещение транспортных и пешеходных зон);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размещения информации и рекламные конструкции;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ограждения (заборы). </w:t>
      </w: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назначению: декоративные, защитные и их сочетание; по высоте: низкие – 0,3 – 1,0 м, средние – 1.1 – 1,7 м, высокие – 1,8 – 3,0 м; по виду материала: металлические, железобетонные, деревянные; по степени проницаемости: прозрачные, глухие; по стационарности: постоянные, временные, передвижные;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объектов капитального строительства;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малые архитектурные формы;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озеленения (массивы, группы,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слитеры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живые изгороди, кулисы, боскеты шпалеры, газоны, цветники, аллейные, рядовые, букетные посадки, установка контейнеров, вазонов, устройство вертикального и крышного озеленения);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коммунально-бытовое и техническое оборудование (мусоросборники – контейнеры, урны) и техническое оборудование (укрытия таксофонов, почтовые ящики, автоматы по продаже воды и др.);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водные устройства (фонтаны, питьевые фонтанчики, бюветы, родники, декоративные водоемы);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инженерной подготовки и защиты территории (подпорные стенки, откосы, земляные насыпи, выемки, открытые лотки, канавы, кюветы,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колодцы, решетки);</w:t>
      </w:r>
      <w:r w:rsidRPr="00AD02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инженерного оборудования (подъемные площадки для инвалидных колясок, смотровые люки, решетки </w:t>
      </w:r>
      <w:proofErr w:type="spellStart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покрытия (твердые, мягкие, газонные, комбинированные);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некапитальные нестационарные сооружения, выполненные из легких конструкций без заглубленных фундаментов (объекты мелкой розничной торговли, попутного бытового  обслуживания и питания, остановочные павильоны, наземные туалеты, боксовые гаражи, др.);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бордюры (дорожные, для пешеходных зон);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пандусы.</w:t>
      </w:r>
    </w:p>
    <w:p w:rsidR="00AD02E3" w:rsidRPr="00AD02E3" w:rsidRDefault="00AD02E3" w:rsidP="00AD02E3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2.Порядок разработки, обсуждения с заинтересованными лицами и утверждение дизайн – проектов благоустройства   дворовых  территорий приводится ниже.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2.1.Состав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tbl>
      <w:tblPr>
        <w:tblW w:w="896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4253"/>
        <w:gridCol w:w="1843"/>
        <w:gridCol w:w="2126"/>
      </w:tblGrid>
      <w:tr w:rsidR="00AD02E3" w:rsidRPr="00AD02E3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листа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листа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Рекомендованный формат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№ Приложения к настоящему Порядку</w:t>
            </w:r>
          </w:p>
        </w:tc>
      </w:tr>
      <w:tr w:rsidR="00AD02E3" w:rsidRPr="00AD02E3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D321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Концепция </w:t>
            </w:r>
            <w:r w:rsidR="00D321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общественной </w:t>
            </w: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А-4 или А-3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02E3" w:rsidRPr="00AD02E3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Функциональное зонирование </w:t>
            </w:r>
            <w:r w:rsidR="00D3212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общественной</w:t>
            </w: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А-4 или А-3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D02E3" w:rsidRPr="00AD02E3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Дизайн - проект благоустройства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А-4 или А-3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D02E3" w:rsidRPr="00AD02E3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Спецификация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D02E3" w:rsidRPr="00AD02E3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Сводная ведомость объемов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D02E3" w:rsidRPr="00AD02E3" w:rsidTr="00AD02E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Расчет стоимости работ по единичным расценкам 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Для подготовки графических материалов листов №1 – 3, рекомендуется подача чертежей в масштабе 1:500 (или 1:400, 1:200) с применением ручной или компьютерной графики. Подготовка пакета документов выполняется с привлечением специализированных организаций.</w:t>
      </w:r>
    </w:p>
    <w:p w:rsidR="00AD02E3" w:rsidRPr="00AD02E3" w:rsidRDefault="00AD02E3" w:rsidP="00AD02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2.2. Концепция дворовой территории направлена на определение идеи и стратегии действий по благоустройству дворовой территории. Концепция выполняется в графической форме.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При подготовке концепции выполняются следующие действия: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проведение визуального осмотра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определение участков</w:t>
      </w:r>
      <w:r w:rsidR="00D32127" w:rsidRPr="00D32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обсуждение возможного зонирования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D32127" w:rsidRPr="00AD0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территории  пользователями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(</w:t>
      </w:r>
      <w:r w:rsidR="00D32127">
        <w:rPr>
          <w:rFonts w:ascii="Times New Roman" w:eastAsia="Calibri" w:hAnsi="Times New Roman" w:cs="Times New Roman"/>
          <w:sz w:val="28"/>
          <w:szCs w:val="28"/>
        </w:rPr>
        <w:t xml:space="preserve">жителями 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разделение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на участки (функциональные зоны) с учетом: пожеланий пользователей </w:t>
      </w:r>
      <w:r w:rsidR="00D3212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территории, удобства использования участков, взаимосвязи  участков (функциональных зон) пешеходными коммуникациями (тротуарами, дорожками, тропинками, пандусами, лестницами), с учетом ра</w:t>
      </w:r>
      <w:r w:rsidR="00D32127">
        <w:rPr>
          <w:rFonts w:ascii="Times New Roman" w:eastAsia="Calibri" w:hAnsi="Times New Roman" w:cs="Times New Roman"/>
          <w:sz w:val="28"/>
          <w:szCs w:val="28"/>
        </w:rPr>
        <w:t>звития объекта благоустройства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подготовка графического материала Лист 1 - Приложение 1 к настоящему Порядку.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</w:t>
      </w:r>
      <w:r w:rsidR="00CE3192">
        <w:rPr>
          <w:rFonts w:ascii="Times New Roman" w:eastAsia="Calibri" w:hAnsi="Times New Roman" w:cs="Times New Roman"/>
          <w:sz w:val="28"/>
          <w:szCs w:val="28"/>
        </w:rPr>
        <w:t>.3. Функциональное зонирование общественной</w:t>
      </w: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 территории направлено на определение участков различного функционального использования, выполняется в графической форме на основе концепции.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 xml:space="preserve"> При подготовке функционального зонирования выполняются следующие действия: 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уточнение участков (функциональных зон), их размеры и площади, включая пешеходные коммуникации;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включение в функциональное зонирование существующих и планируемых зон: проезда, тротуаров, дорожек, подходов с устройством пандусов, парковок для автомобилей, детских, спортивных, хозяйственных, площадок, площадки для выгула домашних животных, зоны озеленения,   исходя из возможной площади двора, пожеланий пользователей дворовой территории и рекомендаций настоящего Порядка;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подготовка графического материала Лист 2 - Приложение 2 к настоящему Порядку.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 xml:space="preserve">Рекомендуется выполнять функциональное зонирование территории двора в границах земельного участка отведенного и оформленного в установленном порядке к многоквартирному дому. Допускается зонирование прилегающей территории к многоквартирному дому, при </w:t>
      </w: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условии </w:t>
      </w:r>
      <w:proofErr w:type="gramStart"/>
      <w:r w:rsidRPr="00AD02E3">
        <w:rPr>
          <w:rFonts w:ascii="Times New Roman" w:eastAsia="Calibri" w:hAnsi="Times New Roman" w:cs="Times New Roman"/>
          <w:sz w:val="28"/>
          <w:szCs w:val="28"/>
        </w:rPr>
        <w:t>выполнения требований Правил благоустройства муниципального образования</w:t>
      </w:r>
      <w:proofErr w:type="gramEnd"/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2.4.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>При подготовке проекта выполняются следующие действия: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- уточнение размеров и площадей функциональных зон, видов покрытий;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- подготовка графического материала Лист 3 - Приложение 3 к настоящему Порядку. </w:t>
      </w:r>
    </w:p>
    <w:p w:rsidR="00AD02E3" w:rsidRPr="00AD02E3" w:rsidRDefault="00AD02E3" w:rsidP="00AD02E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2.5. Спецификация элементов благоустройства выполняется на основе проекта благоустройства дворовой территории и несет обобщенную информацию о наименовании элементов благоустройства необходимых для обеспечения функционального зонирования территории двора и организации комфортного развития пространства для пользователей дворовой территории.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>Форма спецификации представлена в виде таблицы – Приложение 4 к настоящему Порядку.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2.6. Сводная ведомость объемов работ выполняется на основе спецификации элементов благоустройства и несет информацию о конкретных объемах работ по каждой функциональной зоне, включая необходимое количество элементов благоустройства и озеленения.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ab/>
        <w:t>Форма спецификации представлена в виде таблицы – Приложение 5 к настоящему Порядку.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2.7. Расчет стоимости работ по единичным расценкам на текущий год выполняется на основе сводной ведомости объемов работ и несет информацию о применяемых материалах, объемах и расценках, на текущий год, по каждому виду работ. 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Форма спецификации представлена в виде таблицы – Приложение 6 к настоящему Порядку.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2.8. Обсуждение и утверждение дизайн – проектов дворовой территории, пакета документов  выполняется собственниками помещений многоквартирного дома на общем собрании собственников с оформлением протокола установленного образца, заявки на участие в муниципальной программе.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2.9. Уполномоченный представитель собственников помещения многоквартирного дома направляет пакет документов с приложением протокола собрания, заявки в Общественную комиссию для рассмотрения пакета документов и включения многоквартирного дома в муниципальную программу.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>2.10. Реализация утвержденного дизайн - проекта благоустройства дворовой территории производится в рамках утвержденной муниципальной программы, при участии собственников помещений многоквартирного дома.</w:t>
      </w: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2E3" w:rsidRPr="00AD02E3" w:rsidRDefault="00AD02E3" w:rsidP="00AD02E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E3">
        <w:rPr>
          <w:rFonts w:ascii="Times New Roman" w:eastAsia="Calibri" w:hAnsi="Times New Roman" w:cs="Times New Roman"/>
          <w:sz w:val="28"/>
          <w:szCs w:val="28"/>
        </w:rPr>
        <w:t xml:space="preserve">2.11. Оценка реализованного дизайн - проекта благоустройства дворовой территории, регулярная оценка эксплуатации дворовой территории, развитие объектов благоустройства и содержание в надлежащем состоянии производится собственниками помещений многоквартирного дома.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</w:p>
    <w:p w:rsidR="00406D72" w:rsidRPr="00AD02E3" w:rsidRDefault="00406D72" w:rsidP="00406D7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Концепция общественной территории стадион с.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406D72" w:rsidRPr="00AD02E3" w:rsidRDefault="00406D72" w:rsidP="00406D7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Функциональное зонирование общественной территории стадион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Подгорное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406D72" w:rsidRPr="00AD02E3" w:rsidRDefault="00406D72" w:rsidP="00406D7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 стадион с.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СПЕЦИФИКАЦИЯ ЭЛЕМЕНТОВ БЛАГОУСТРОЙСТВА 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Объект: </w:t>
      </w:r>
      <w:r w:rsidR="00406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стадион с. </w:t>
      </w:r>
      <w:proofErr w:type="gramStart"/>
      <w:r w:rsidR="00406D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Адрес:……………………………………………………………………………………….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260"/>
        <w:gridCol w:w="2404"/>
        <w:gridCol w:w="2325"/>
      </w:tblGrid>
      <w:tr w:rsidR="00AD02E3" w:rsidRPr="00AD02E3" w:rsidTr="00406D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</w:tr>
      <w:tr w:rsidR="00AD02E3" w:rsidRPr="00AD02E3" w:rsidTr="00406D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площадка.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Подходы к подъездам (пешеходные коммуникации, включая пандусы)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Зоны тихого отдыха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Парковка автомобилей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406D72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комбинированный с лестницей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Ограждения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освещение (источник света).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*спецификация составляется на основании проекта благоустройства  – Приложение 3 к Порядку.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tabs>
          <w:tab w:val="left" w:pos="8530"/>
          <w:tab w:val="right" w:pos="10294"/>
        </w:tabs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</w:p>
    <w:p w:rsidR="00AD02E3" w:rsidRPr="00AD02E3" w:rsidRDefault="00AD02E3" w:rsidP="00AD02E3">
      <w:pPr>
        <w:tabs>
          <w:tab w:val="left" w:pos="8530"/>
          <w:tab w:val="right" w:pos="10294"/>
        </w:tabs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СВОДНАЯ ВЕДОМОСТЬ ОБЪЕМОВ РАБОТ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Объект: </w:t>
      </w:r>
      <w:proofErr w:type="gramStart"/>
      <w:r w:rsidR="00406D7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spellStart"/>
      <w:r w:rsidR="00406D72">
        <w:rPr>
          <w:rFonts w:ascii="Times New Roman" w:eastAsia="Times New Roman" w:hAnsi="Times New Roman" w:cs="Times New Roman"/>
          <w:sz w:val="20"/>
          <w:szCs w:val="20"/>
        </w:rPr>
        <w:t>тадион</w:t>
      </w:r>
      <w:proofErr w:type="spellEnd"/>
      <w:proofErr w:type="gramEnd"/>
      <w:r w:rsidR="00406D72">
        <w:rPr>
          <w:rFonts w:ascii="Times New Roman" w:eastAsia="Times New Roman" w:hAnsi="Times New Roman" w:cs="Times New Roman"/>
          <w:sz w:val="20"/>
          <w:szCs w:val="20"/>
        </w:rPr>
        <w:t xml:space="preserve"> с. Подгорное</w:t>
      </w: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Адрес:……………………………………………………………………………………….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206"/>
        <w:gridCol w:w="2378"/>
        <w:gridCol w:w="2290"/>
      </w:tblGrid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 дорожные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Хозяйственная площадка.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406D7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1F0808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Подходы к </w:t>
            </w:r>
            <w:r w:rsid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стадиону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(пешеходные коммуникации)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 тротуарные (или дорожные)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для газонов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низкое высотой от 0,3 до 1,0 м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Зоны тихого отдыха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клумбы с альпийской горкой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клумбы с декоративным водоемом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Дорожки. 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Дорожки. Плиточное покрытие.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Песчаное покрытие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Безопасное покрытие – коврик резиновый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46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Качалка на пружине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Качалка – балансир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Качели на одно место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игровой комплекс до 50 квадратных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метров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Песчаное покрытие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Безопасное покрытие – коврик резиновый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Турник двойной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двойной, двухуровневый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баскетбольная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.8.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волейбольная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Парковка автомобилей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Бордюры дорожные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Озеленение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газонов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цветников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Рядовая посадка кустарников – живая изгородь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посадка цветущих кустарников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голубой ели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деревьев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Пандус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комбинированный с лестницей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лестницы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пандуса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для пандуса, лестницы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барьерное среднее высотой от 1,1 до 1,7 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Ограждения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разделяющее функциональные зоны (парковка – детская площадка – спортивная площадка),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защитное (или) сочетание декоративное 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ащитное среднее высотой от 1,1 до 1,7 метра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Функциональное освещение (источник света)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rPr>
          <w:trHeight w:val="1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провода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Погонный метр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D72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6D72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светильников. </w:t>
            </w:r>
          </w:p>
          <w:p w:rsidR="00406D72" w:rsidRPr="00AD02E3" w:rsidRDefault="00406D72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72" w:rsidRPr="00AD02E3" w:rsidRDefault="00406D72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72" w:rsidRPr="00AD02E3" w:rsidRDefault="00406D72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1F0808" w:rsidRDefault="001F0808" w:rsidP="001F0808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Беговая дорожка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1F0808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1F0808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1F0808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1F080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6</w:t>
      </w:r>
    </w:p>
    <w:p w:rsidR="00AD02E3" w:rsidRPr="00AD02E3" w:rsidRDefault="00AD02E3" w:rsidP="00AD02E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 </w:t>
      </w: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РАСЧЁТ СТОИМОСТИ РАБОТ ПО ЕДИНИЧНЫМ РАСЦЕНКАМ НА ТЕКУЩИЙ ГОД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Объект: </w:t>
      </w:r>
      <w:r w:rsidR="001F0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Стадион с. </w:t>
      </w:r>
      <w:proofErr w:type="gramStart"/>
      <w:r w:rsidR="001F08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Подгорное</w:t>
      </w:r>
      <w:proofErr w:type="gramEnd"/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2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Адрес:……………………………………………………………………………………….</w:t>
      </w: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71"/>
        <w:gridCol w:w="816"/>
        <w:gridCol w:w="850"/>
        <w:gridCol w:w="1134"/>
        <w:gridCol w:w="1276"/>
      </w:tblGrid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за единицу измерения, 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работ, тыс. руб. </w:t>
            </w: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Проезд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из мелкозернистого плотного а\б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толщиной 5 см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горловины смотрового колодца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Хозяйственная площадка.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основания из щебня фр. 20-40 марка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100 </w:t>
            </w:r>
          </w:p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для чистки ковров,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E3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конструкции контейнерной площадки, включая стоимость конструкции и контейнеров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3" w:rsidRPr="00AD02E3" w:rsidRDefault="00AD02E3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E3" w:rsidRPr="00AD02E3" w:rsidRDefault="00AD02E3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Подходы к подъездам (пешеходные коммуникации)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пандусов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каркаса из металлической арматуры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Зоны тихого отдыха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Планировка земляного полотна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песчано-цементной смеси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плиткой тип – брусчатка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Бордюры пешеходные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стола,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клумбы с альпийской горкой, включая посадочный материал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клумбы с декоративным водоемом, включая посадочный материал и конструкцию водоема пластикового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Пешеходные коммуникации (тротуары, дорожки, тропинки), Подходы к 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функциональным зонам (хозяйственная площадка, площадка для выгула животных, контейнерная площадка, детская площадка)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на тротуаре 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качалки на пружине,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качалки – балансир,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качелей на одно место,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карусели,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детского игрового комплекса до 50 квадратных метров,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турника двойного,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детского спортивного комплекса,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двойного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.8.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стойки баскетбольной, включая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стойки волейбольной,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Парковка автомобилей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из мелкозернистого плотного а\б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толщиной 5 см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Озеленение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участков (очистка, прополка, перекопка)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почвы под цветники с внесением растительной земли слоем 20 см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цветников с учетом стоимости рассады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почвы для устройства обыкновенного газона с внесением растительной земли слоем 15 см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газонов обыкновенных, с учетом стоимости семян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посадочных мест  для кустов и деревьев вручную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кустарников - саженцев в живую изгородь,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посадка цветущих кустарников,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голубой ели,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деревьев, с учетом стоимости посадочного материала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1F0808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Пандус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комбинированный с лестницей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каркаса из металлической арматуры </w:t>
            </w: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0,8 см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монолитных лестничных маршей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плиточного покрытия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Ограждения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для газонов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низкое высотой от 0,3 до 1,0 м, включая стоимость конструкций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для пандусов, лестницы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барьерное среднее высотой от 1,1 до 1,7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для площадки выгула домашних животных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защитное (сетка) среднее высотой от 1,1 до 1,7 метра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ограждения разделяющего функциональные зоны (парковка – детская площадка – спортивная площадка) </w:t>
            </w:r>
          </w:p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защитное (или) сочетание декоративное 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ащитное среднее высотой от 1,1 до 1,7 метра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Функциональное освещение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провода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808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F0808"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энергосберегающих светильников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8" w:rsidRPr="00AD02E3" w:rsidRDefault="001F0808" w:rsidP="00AD02E3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8" w:rsidRPr="00AD02E3" w:rsidRDefault="001F0808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AD0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04" w:rsidRPr="00AD02E3" w:rsidRDefault="00BE2D04" w:rsidP="0019745C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04" w:rsidRPr="001F0808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Беговая дорожка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04" w:rsidRPr="00AD02E3" w:rsidRDefault="00BE2D04" w:rsidP="0019745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1F0808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1000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BE2D04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D04">
              <w:rPr>
                <w:rFonts w:ascii="Times New Roman" w:eastAsia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BE2D04" w:rsidRPr="00AD02E3" w:rsidRDefault="00BE2D04" w:rsidP="0019745C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BE2D04" w:rsidRPr="00AD02E3" w:rsidRDefault="00BE2D04" w:rsidP="0019745C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асфальтобетона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tabs>
                <w:tab w:val="left" w:pos="650"/>
              </w:tabs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из мелкозернистого плотного а\б марки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</w:t>
            </w:r>
            <w:proofErr w:type="gram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толщиной 5 см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1000 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D04" w:rsidRPr="00AD02E3" w:rsidTr="001F0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бордюров дорожных дл. 0,8 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19745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AD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4" w:rsidRPr="00AD02E3" w:rsidRDefault="00BE2D04" w:rsidP="00AD02E3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spacing w:after="0" w:line="240" w:lineRule="auto"/>
        <w:ind w:right="42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D02E3" w:rsidRPr="00AD02E3" w:rsidRDefault="00AD02E3" w:rsidP="00AD02E3">
      <w:pPr>
        <w:jc w:val="center"/>
        <w:rPr>
          <w:rFonts w:ascii="Calibri" w:eastAsia="Calibri" w:hAnsi="Calibri" w:cs="Calibri"/>
        </w:rPr>
      </w:pPr>
      <w:r w:rsidRPr="00AD02E3">
        <w:rPr>
          <w:rFonts w:ascii="Calibri" w:eastAsia="Calibri" w:hAnsi="Calibri" w:cs="Calibri"/>
        </w:rPr>
        <w:t>__________________________</w:t>
      </w:r>
    </w:p>
    <w:p w:rsidR="00AD02E3" w:rsidRPr="00AD02E3" w:rsidRDefault="00AD02E3" w:rsidP="00AD02E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D02E3" w:rsidRPr="00AD02E3" w:rsidRDefault="00AD02E3" w:rsidP="00AD02E3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02E3" w:rsidRPr="00AD02E3" w:rsidRDefault="00AD02E3" w:rsidP="00AD02E3">
      <w:pPr>
        <w:rPr>
          <w:rFonts w:ascii="Calibri" w:eastAsia="Calibri" w:hAnsi="Calibri" w:cs="Calibri"/>
        </w:rPr>
      </w:pPr>
    </w:p>
    <w:p w:rsidR="00AD02E3" w:rsidRPr="00AD02E3" w:rsidRDefault="00AD02E3" w:rsidP="00AD02E3">
      <w:pPr>
        <w:rPr>
          <w:rFonts w:ascii="Times New Roman" w:eastAsia="Calibri" w:hAnsi="Times New Roman" w:cs="Times New Roman"/>
          <w:sz w:val="24"/>
          <w:szCs w:val="24"/>
        </w:rPr>
      </w:pPr>
    </w:p>
    <w:p w:rsidR="000A61F7" w:rsidRDefault="000A61F7"/>
    <w:sectPr w:rsidR="000A61F7" w:rsidSect="00B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61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094995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E3509"/>
    <w:multiLevelType w:val="hybridMultilevel"/>
    <w:tmpl w:val="D1786F6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07CE2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ECD1D8B"/>
    <w:multiLevelType w:val="multilevel"/>
    <w:tmpl w:val="3BC8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eastAsia="Times New Roman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A4527A8"/>
    <w:multiLevelType w:val="hybridMultilevel"/>
    <w:tmpl w:val="19508FB6"/>
    <w:lvl w:ilvl="0" w:tplc="734A7CB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2230"/>
    <w:rsid w:val="00030D1C"/>
    <w:rsid w:val="000A61F7"/>
    <w:rsid w:val="00145C6F"/>
    <w:rsid w:val="001D0844"/>
    <w:rsid w:val="001F0808"/>
    <w:rsid w:val="0020306A"/>
    <w:rsid w:val="00406D72"/>
    <w:rsid w:val="004D6240"/>
    <w:rsid w:val="008B6DA3"/>
    <w:rsid w:val="009C00F9"/>
    <w:rsid w:val="009F2891"/>
    <w:rsid w:val="00A36E68"/>
    <w:rsid w:val="00AD02E3"/>
    <w:rsid w:val="00B60AA1"/>
    <w:rsid w:val="00B92BE1"/>
    <w:rsid w:val="00BE2D04"/>
    <w:rsid w:val="00C5343F"/>
    <w:rsid w:val="00CE3192"/>
    <w:rsid w:val="00D32127"/>
    <w:rsid w:val="00E8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D0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0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02E3"/>
  </w:style>
  <w:style w:type="character" w:styleId="a3">
    <w:name w:val="Hyperlink"/>
    <w:semiHidden/>
    <w:unhideWhenUsed/>
    <w:rsid w:val="00AD02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D0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D02E3"/>
  </w:style>
  <w:style w:type="paragraph" w:styleId="a7">
    <w:name w:val="Title"/>
    <w:basedOn w:val="a"/>
    <w:link w:val="a8"/>
    <w:qFormat/>
    <w:rsid w:val="00AD02E3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02E3"/>
    <w:pPr>
      <w:spacing w:before="240"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D02E3"/>
    <w:rPr>
      <w:rFonts w:ascii="Calibri" w:eastAsia="Calibri" w:hAnsi="Calibri" w:cs="Times New Roman"/>
      <w:sz w:val="24"/>
      <w:szCs w:val="20"/>
      <w:lang w:eastAsia="ru-RU"/>
    </w:rPr>
  </w:style>
  <w:style w:type="paragraph" w:styleId="ab">
    <w:name w:val="Block Text"/>
    <w:basedOn w:val="a"/>
    <w:unhideWhenUsed/>
    <w:rsid w:val="00AD02E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D02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D02E3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D02E3"/>
    <w:pPr>
      <w:ind w:left="720"/>
      <w:contextualSpacing/>
    </w:pPr>
    <w:rPr>
      <w:rFonts w:ascii="Calibri" w:eastAsia="Calibri" w:hAnsi="Calibri" w:cs="Calibri"/>
    </w:rPr>
  </w:style>
  <w:style w:type="character" w:customStyle="1" w:styleId="af">
    <w:name w:val="Абзац списка Знак"/>
    <w:link w:val="11"/>
    <w:uiPriority w:val="99"/>
    <w:locked/>
    <w:rsid w:val="00AD02E3"/>
    <w:rPr>
      <w:sz w:val="24"/>
      <w:lang w:eastAsia="ru-RU"/>
    </w:rPr>
  </w:style>
  <w:style w:type="paragraph" w:customStyle="1" w:styleId="11">
    <w:name w:val="Абзац списка1"/>
    <w:basedOn w:val="a"/>
    <w:link w:val="af"/>
    <w:uiPriority w:val="99"/>
    <w:rsid w:val="00AD02E3"/>
    <w:pPr>
      <w:spacing w:before="240" w:after="0" w:line="240" w:lineRule="auto"/>
      <w:ind w:left="720"/>
    </w:pPr>
    <w:rPr>
      <w:sz w:val="24"/>
      <w:lang w:eastAsia="ru-RU"/>
    </w:rPr>
  </w:style>
  <w:style w:type="paragraph" w:customStyle="1" w:styleId="ConsPlusNormal">
    <w:name w:val="ConsPlusNormal"/>
    <w:link w:val="ConsPlusNormal0"/>
    <w:rsid w:val="00AD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AD0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AD02E3"/>
  </w:style>
  <w:style w:type="table" w:styleId="af1">
    <w:name w:val="Table Grid"/>
    <w:basedOn w:val="a1"/>
    <w:rsid w:val="00AD0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AD02E3"/>
    <w:rPr>
      <w:b/>
      <w:bCs/>
    </w:rPr>
  </w:style>
  <w:style w:type="character" w:customStyle="1" w:styleId="ConsPlusNormal0">
    <w:name w:val="ConsPlusNormal Знак"/>
    <w:link w:val="ConsPlusNormal"/>
    <w:locked/>
    <w:rsid w:val="00AD02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D0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0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02E3"/>
  </w:style>
  <w:style w:type="character" w:styleId="a3">
    <w:name w:val="Hyperlink"/>
    <w:semiHidden/>
    <w:unhideWhenUsed/>
    <w:rsid w:val="00AD02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D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D0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D02E3"/>
  </w:style>
  <w:style w:type="paragraph" w:styleId="a7">
    <w:name w:val="Title"/>
    <w:basedOn w:val="a"/>
    <w:link w:val="a8"/>
    <w:qFormat/>
    <w:rsid w:val="00AD02E3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D0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02E3"/>
    <w:pPr>
      <w:spacing w:before="240"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D02E3"/>
    <w:rPr>
      <w:rFonts w:ascii="Calibri" w:eastAsia="Calibri" w:hAnsi="Calibri" w:cs="Times New Roman"/>
      <w:sz w:val="24"/>
      <w:szCs w:val="20"/>
      <w:lang w:eastAsia="ru-RU"/>
    </w:rPr>
  </w:style>
  <w:style w:type="paragraph" w:styleId="ab">
    <w:name w:val="Block Text"/>
    <w:basedOn w:val="a"/>
    <w:unhideWhenUsed/>
    <w:rsid w:val="00AD02E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D02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D02E3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D02E3"/>
    <w:pPr>
      <w:ind w:left="720"/>
      <w:contextualSpacing/>
    </w:pPr>
    <w:rPr>
      <w:rFonts w:ascii="Calibri" w:eastAsia="Calibri" w:hAnsi="Calibri" w:cs="Calibri"/>
    </w:rPr>
  </w:style>
  <w:style w:type="character" w:customStyle="1" w:styleId="af">
    <w:name w:val="Абзац списка Знак"/>
    <w:link w:val="11"/>
    <w:uiPriority w:val="99"/>
    <w:locked/>
    <w:rsid w:val="00AD02E3"/>
    <w:rPr>
      <w:sz w:val="24"/>
      <w:lang w:eastAsia="ru-RU"/>
    </w:rPr>
  </w:style>
  <w:style w:type="paragraph" w:customStyle="1" w:styleId="11">
    <w:name w:val="Абзац списка1"/>
    <w:basedOn w:val="a"/>
    <w:link w:val="af"/>
    <w:uiPriority w:val="99"/>
    <w:rsid w:val="00AD02E3"/>
    <w:pPr>
      <w:spacing w:before="240" w:after="0" w:line="240" w:lineRule="auto"/>
      <w:ind w:left="720"/>
    </w:pPr>
    <w:rPr>
      <w:sz w:val="24"/>
      <w:lang w:eastAsia="ru-RU"/>
    </w:rPr>
  </w:style>
  <w:style w:type="paragraph" w:customStyle="1" w:styleId="ConsPlusNormal">
    <w:name w:val="ConsPlusNormal"/>
    <w:link w:val="ConsPlusNormal0"/>
    <w:rsid w:val="00AD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AD0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AD02E3"/>
  </w:style>
  <w:style w:type="table" w:styleId="af1">
    <w:name w:val="Table Grid"/>
    <w:basedOn w:val="a1"/>
    <w:rsid w:val="00AD02E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0"/>
    <w:qFormat/>
    <w:rsid w:val="00AD02E3"/>
    <w:rPr>
      <w:b/>
      <w:bCs/>
    </w:rPr>
  </w:style>
  <w:style w:type="character" w:customStyle="1" w:styleId="ConsPlusNormal0">
    <w:name w:val="ConsPlusNormal Знак"/>
    <w:link w:val="ConsPlusNormal"/>
    <w:locked/>
    <w:rsid w:val="00AD02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0184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F998-30EF-4D54-B8FE-C6ED1D9C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8785</Words>
  <Characters>50075</Characters>
  <Application>Microsoft Office Word</Application>
  <DocSecurity>4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Shamshurina AL</cp:lastModifiedBy>
  <cp:revision>2</cp:revision>
  <dcterms:created xsi:type="dcterms:W3CDTF">2017-11-02T09:20:00Z</dcterms:created>
  <dcterms:modified xsi:type="dcterms:W3CDTF">2017-11-02T09:20:00Z</dcterms:modified>
</cp:coreProperties>
</file>