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A3" w:rsidRPr="00C91ED2" w:rsidRDefault="00A67CA3" w:rsidP="00A67CA3">
      <w:pPr>
        <w:shd w:val="clear" w:color="auto" w:fill="FFFFFF"/>
        <w:spacing w:before="322"/>
        <w:ind w:right="14"/>
        <w:jc w:val="center"/>
        <w:rPr>
          <w:color w:val="292929"/>
          <w:spacing w:val="-1"/>
          <w:sz w:val="26"/>
          <w:szCs w:val="26"/>
        </w:rPr>
      </w:pPr>
      <w:r>
        <w:rPr>
          <w:color w:val="292929"/>
          <w:spacing w:val="-1"/>
          <w:sz w:val="26"/>
          <w:szCs w:val="26"/>
        </w:rPr>
        <w:t>Р</w:t>
      </w:r>
      <w:r w:rsidRPr="00C91ED2">
        <w:rPr>
          <w:color w:val="292929"/>
          <w:spacing w:val="-1"/>
          <w:sz w:val="26"/>
          <w:szCs w:val="26"/>
        </w:rPr>
        <w:t>ЕШЕНИЕ</w:t>
      </w:r>
    </w:p>
    <w:p w:rsidR="00A67CA3" w:rsidRPr="00C91ED2" w:rsidRDefault="00A67CA3" w:rsidP="00A67CA3">
      <w:pPr>
        <w:jc w:val="center"/>
        <w:rPr>
          <w:sz w:val="26"/>
          <w:szCs w:val="26"/>
        </w:rPr>
      </w:pPr>
      <w:r w:rsidRPr="00C91ED2">
        <w:rPr>
          <w:sz w:val="26"/>
          <w:szCs w:val="26"/>
        </w:rPr>
        <w:t>Совета депутатов муниципального образования «</w:t>
      </w:r>
      <w:proofErr w:type="spellStart"/>
      <w:r w:rsidRPr="00C91ED2">
        <w:rPr>
          <w:sz w:val="26"/>
          <w:szCs w:val="26"/>
        </w:rPr>
        <w:t>Подгорновское</w:t>
      </w:r>
      <w:proofErr w:type="spellEnd"/>
      <w:r w:rsidRPr="00C91ED2">
        <w:rPr>
          <w:sz w:val="26"/>
          <w:szCs w:val="26"/>
        </w:rPr>
        <w:t>»</w:t>
      </w:r>
    </w:p>
    <w:p w:rsidR="00A67CA3" w:rsidRPr="00C91ED2" w:rsidRDefault="00A67CA3" w:rsidP="00A67CA3">
      <w:pPr>
        <w:shd w:val="clear" w:color="auto" w:fill="FFFFFF"/>
        <w:tabs>
          <w:tab w:val="left" w:leader="underscore" w:pos="8011"/>
        </w:tabs>
        <w:spacing w:before="326" w:line="322" w:lineRule="exact"/>
        <w:ind w:left="1680" w:hanging="1483"/>
        <w:jc w:val="center"/>
        <w:rPr>
          <w:sz w:val="26"/>
          <w:szCs w:val="26"/>
        </w:rPr>
      </w:pPr>
      <w:r w:rsidRPr="00C91ED2">
        <w:rPr>
          <w:b/>
          <w:bCs/>
          <w:color w:val="292929"/>
          <w:spacing w:val="-1"/>
          <w:sz w:val="26"/>
          <w:szCs w:val="26"/>
        </w:rPr>
        <w:t>О налоге на имущество физических лиц на территории муниципального</w:t>
      </w:r>
      <w:r w:rsidRPr="00C91ED2">
        <w:rPr>
          <w:b/>
          <w:bCs/>
          <w:color w:val="292929"/>
          <w:spacing w:val="-1"/>
          <w:sz w:val="26"/>
          <w:szCs w:val="26"/>
        </w:rPr>
        <w:br/>
        <w:t xml:space="preserve">образования « </w:t>
      </w:r>
      <w:proofErr w:type="spellStart"/>
      <w:r w:rsidRPr="00C91ED2">
        <w:rPr>
          <w:b/>
          <w:bCs/>
          <w:color w:val="292929"/>
          <w:spacing w:val="-1"/>
          <w:sz w:val="26"/>
          <w:szCs w:val="26"/>
        </w:rPr>
        <w:t>Подгорновское</w:t>
      </w:r>
      <w:proofErr w:type="spellEnd"/>
      <w:r w:rsidRPr="00C91ED2">
        <w:rPr>
          <w:b/>
          <w:bCs/>
          <w:color w:val="292929"/>
          <w:spacing w:val="-1"/>
          <w:sz w:val="26"/>
          <w:szCs w:val="26"/>
        </w:rPr>
        <w:t>»</w:t>
      </w:r>
    </w:p>
    <w:p w:rsidR="00A67CA3" w:rsidRPr="00C91ED2" w:rsidRDefault="00A67CA3" w:rsidP="00A67CA3">
      <w:pPr>
        <w:shd w:val="clear" w:color="auto" w:fill="FFFFFF"/>
        <w:tabs>
          <w:tab w:val="left" w:leader="underscore" w:pos="9662"/>
        </w:tabs>
        <w:spacing w:before="643" w:line="322" w:lineRule="exact"/>
        <w:ind w:right="14" w:firstLine="696"/>
        <w:jc w:val="both"/>
        <w:rPr>
          <w:sz w:val="26"/>
          <w:szCs w:val="26"/>
        </w:rPr>
      </w:pPr>
      <w:r w:rsidRPr="0056070A">
        <w:rPr>
          <w:color w:val="000000"/>
          <w:sz w:val="26"/>
          <w:szCs w:val="26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</w:rPr>
        <w:t xml:space="preserve"> Налоговым кодексом Российской Федерации, </w:t>
      </w:r>
      <w:r w:rsidRPr="00C91ED2">
        <w:rPr>
          <w:color w:val="000000"/>
          <w:spacing w:val="-2"/>
          <w:sz w:val="26"/>
          <w:szCs w:val="26"/>
        </w:rPr>
        <w:t>Уставом муниципального образования «</w:t>
      </w:r>
      <w:proofErr w:type="spellStart"/>
      <w:r w:rsidRPr="00C91ED2">
        <w:rPr>
          <w:color w:val="000000"/>
          <w:spacing w:val="-2"/>
          <w:sz w:val="26"/>
          <w:szCs w:val="26"/>
        </w:rPr>
        <w:t>Подгорновское</w:t>
      </w:r>
      <w:proofErr w:type="spellEnd"/>
      <w:r w:rsidRPr="00C91ED2">
        <w:rPr>
          <w:color w:val="000000"/>
          <w:spacing w:val="-2"/>
          <w:sz w:val="26"/>
          <w:szCs w:val="26"/>
        </w:rPr>
        <w:t>» решает:</w:t>
      </w:r>
    </w:p>
    <w:p w:rsidR="00A67CA3" w:rsidRPr="00C91ED2" w:rsidRDefault="00A67CA3" w:rsidP="00A67CA3">
      <w:pPr>
        <w:shd w:val="clear" w:color="auto" w:fill="FFFFFF"/>
        <w:spacing w:before="5"/>
        <w:rPr>
          <w:sz w:val="26"/>
          <w:szCs w:val="26"/>
        </w:rPr>
      </w:pPr>
    </w:p>
    <w:p w:rsidR="00A67CA3" w:rsidRPr="0056070A" w:rsidRDefault="00A67CA3" w:rsidP="00A67CA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-2"/>
          <w:sz w:val="24"/>
          <w:szCs w:val="24"/>
        </w:rPr>
        <w:t xml:space="preserve">             </w:t>
      </w:r>
      <w:r w:rsidR="008820E2">
        <w:rPr>
          <w:color w:val="000000"/>
          <w:spacing w:val="-2"/>
          <w:sz w:val="26"/>
          <w:szCs w:val="26"/>
        </w:rPr>
        <w:t xml:space="preserve">1. Установить </w:t>
      </w:r>
      <w:r w:rsidRPr="0056070A">
        <w:rPr>
          <w:color w:val="000000"/>
          <w:spacing w:val="-2"/>
          <w:sz w:val="26"/>
          <w:szCs w:val="26"/>
        </w:rPr>
        <w:t xml:space="preserve"> на территории муниципального образования</w:t>
      </w:r>
      <w:r>
        <w:rPr>
          <w:color w:val="000000"/>
          <w:spacing w:val="-2"/>
          <w:sz w:val="26"/>
          <w:szCs w:val="26"/>
        </w:rPr>
        <w:t xml:space="preserve"> «</w:t>
      </w:r>
      <w:proofErr w:type="spellStart"/>
      <w:r>
        <w:rPr>
          <w:color w:val="000000"/>
          <w:spacing w:val="-2"/>
          <w:sz w:val="26"/>
          <w:szCs w:val="26"/>
        </w:rPr>
        <w:t>Подгорновское</w:t>
      </w:r>
      <w:proofErr w:type="spellEnd"/>
      <w:r w:rsidRPr="0056070A">
        <w:rPr>
          <w:color w:val="000000"/>
          <w:spacing w:val="-2"/>
          <w:sz w:val="26"/>
          <w:szCs w:val="26"/>
        </w:rPr>
        <w:t>»</w:t>
      </w:r>
      <w:r w:rsidRPr="0056070A">
        <w:rPr>
          <w:color w:val="000000"/>
          <w:sz w:val="26"/>
          <w:szCs w:val="26"/>
        </w:rPr>
        <w:t xml:space="preserve"> налог на имущество физических лиц.</w:t>
      </w:r>
    </w:p>
    <w:p w:rsidR="00A67CA3" w:rsidRPr="0056070A" w:rsidRDefault="00A67CA3" w:rsidP="00A67CA3">
      <w:pPr>
        <w:shd w:val="clear" w:color="auto" w:fill="FFFFFF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</w:t>
      </w:r>
      <w:r w:rsidRPr="0056070A">
        <w:rPr>
          <w:color w:val="000000"/>
          <w:sz w:val="26"/>
          <w:szCs w:val="26"/>
        </w:rPr>
        <w:t>. Установить следующие ставки налога на имущество физических лиц:</w:t>
      </w:r>
    </w:p>
    <w:p w:rsidR="00A67CA3" w:rsidRDefault="00A67CA3" w:rsidP="00A67CA3">
      <w:pPr>
        <w:shd w:val="clear" w:color="auto" w:fill="FFFFFF"/>
        <w:spacing w:line="322" w:lineRule="exact"/>
        <w:ind w:left="19"/>
        <w:jc w:val="both"/>
        <w:rPr>
          <w:color w:val="000000"/>
          <w:sz w:val="26"/>
          <w:szCs w:val="26"/>
        </w:rPr>
      </w:pPr>
      <w:r w:rsidRPr="0056070A">
        <w:rPr>
          <w:color w:val="000000"/>
          <w:sz w:val="26"/>
          <w:szCs w:val="26"/>
        </w:rPr>
        <w:t xml:space="preserve"> </w:t>
      </w:r>
      <w:r w:rsidRPr="0056070A">
        <w:rPr>
          <w:color w:val="000000"/>
          <w:spacing w:val="10"/>
          <w:sz w:val="26"/>
          <w:szCs w:val="26"/>
        </w:rPr>
        <w:t>1)</w:t>
      </w:r>
      <w:r w:rsidRPr="009159FB"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10"/>
          <w:sz w:val="26"/>
          <w:szCs w:val="26"/>
        </w:rPr>
        <w:t xml:space="preserve">в отношении жилых домов, частей жилых домов, квартир, частей квартир,  комнат, </w:t>
      </w:r>
      <w:r>
        <w:rPr>
          <w:color w:val="000000"/>
          <w:spacing w:val="2"/>
          <w:sz w:val="26"/>
          <w:szCs w:val="26"/>
        </w:rPr>
        <w:t xml:space="preserve">объектов   незавершенного   строительства   в   случае,   если   проектируемым </w:t>
      </w:r>
      <w:r>
        <w:rPr>
          <w:color w:val="000000"/>
          <w:sz w:val="26"/>
          <w:szCs w:val="26"/>
        </w:rPr>
        <w:t>назначением таких объектов является жилой дом:</w:t>
      </w:r>
      <w:r w:rsidRPr="0056070A">
        <w:rPr>
          <w:color w:val="000000"/>
          <w:spacing w:val="10"/>
          <w:sz w:val="26"/>
          <w:szCs w:val="26"/>
        </w:rPr>
        <w:t xml:space="preserve"> </w:t>
      </w:r>
    </w:p>
    <w:p w:rsidR="00A67CA3" w:rsidRPr="0056070A" w:rsidRDefault="00A67CA3" w:rsidP="00A67CA3">
      <w:pPr>
        <w:shd w:val="clear" w:color="auto" w:fill="FFFFFF"/>
        <w:spacing w:line="322" w:lineRule="exact"/>
        <w:ind w:left="19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A67CA3" w:rsidRPr="00533955" w:rsidTr="00DB6E3D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spacing w:line="278" w:lineRule="exact"/>
              <w:ind w:left="744" w:right="74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A67CA3" w:rsidRPr="00533955" w:rsidTr="00DB6E3D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67CA3" w:rsidRPr="00533955" w:rsidTr="00DB6E3D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67CA3" w:rsidRPr="00533955" w:rsidTr="00DB6E3D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A3" w:rsidRPr="00533955" w:rsidRDefault="00A67CA3" w:rsidP="00DB6E3D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A67CA3" w:rsidRDefault="00A67CA3" w:rsidP="00A67CA3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color w:val="000000"/>
          <w:spacing w:val="2"/>
          <w:sz w:val="26"/>
          <w:szCs w:val="26"/>
        </w:rPr>
      </w:pPr>
      <w:r w:rsidRPr="0056070A">
        <w:rPr>
          <w:color w:val="000000"/>
          <w:spacing w:val="-8"/>
          <w:sz w:val="26"/>
          <w:szCs w:val="26"/>
        </w:rPr>
        <w:t>2)</w:t>
      </w:r>
      <w:r w:rsidRPr="0056070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отношении </w:t>
      </w:r>
      <w:r>
        <w:rPr>
          <w:color w:val="000000"/>
          <w:spacing w:val="2"/>
          <w:sz w:val="26"/>
          <w:szCs w:val="26"/>
        </w:rPr>
        <w:t xml:space="preserve">гаражей и </w:t>
      </w:r>
      <w:proofErr w:type="spellStart"/>
      <w:r>
        <w:rPr>
          <w:color w:val="000000"/>
          <w:spacing w:val="2"/>
          <w:sz w:val="26"/>
          <w:szCs w:val="26"/>
        </w:rPr>
        <w:t>машино</w:t>
      </w:r>
      <w:proofErr w:type="spellEnd"/>
      <w:r>
        <w:rPr>
          <w:color w:val="000000"/>
          <w:spacing w:val="2"/>
          <w:sz w:val="26"/>
          <w:szCs w:val="26"/>
        </w:rPr>
        <w:t xml:space="preserve">-мест, в том числе включенных в подпункты 4 и 5 данного пункта, а также хозяйственных строений </w:t>
      </w:r>
      <w:r>
        <w:rPr>
          <w:color w:val="000000"/>
          <w:spacing w:val="6"/>
          <w:sz w:val="26"/>
          <w:szCs w:val="26"/>
        </w:rPr>
        <w:t xml:space="preserve">или сооружений, площадь каждого из которых не превышает 50 квадратных </w:t>
      </w:r>
      <w:r>
        <w:rPr>
          <w:color w:val="000000"/>
          <w:spacing w:val="2"/>
          <w:sz w:val="26"/>
          <w:szCs w:val="26"/>
        </w:rPr>
        <w:t xml:space="preserve"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>
        <w:rPr>
          <w:color w:val="000000"/>
          <w:spacing w:val="1"/>
          <w:sz w:val="26"/>
          <w:szCs w:val="26"/>
        </w:rPr>
        <w:t>жилищного строительства - 0,1 процента;</w:t>
      </w:r>
    </w:p>
    <w:p w:rsidR="00A67CA3" w:rsidRDefault="00A67CA3" w:rsidP="00A67CA3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color w:val="000000"/>
          <w:sz w:val="26"/>
          <w:szCs w:val="26"/>
        </w:rPr>
      </w:pPr>
      <w:r w:rsidRPr="0056070A">
        <w:rPr>
          <w:color w:val="000000"/>
          <w:spacing w:val="-13"/>
          <w:sz w:val="26"/>
          <w:szCs w:val="26"/>
        </w:rPr>
        <w:t xml:space="preserve"> 3)</w:t>
      </w:r>
      <w:r w:rsidRPr="00D81A49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в  отношении  единых  недвижимых  комплексов,  в  состав  которых </w:t>
      </w:r>
      <w:r>
        <w:rPr>
          <w:color w:val="000000"/>
          <w:sz w:val="26"/>
          <w:szCs w:val="26"/>
        </w:rPr>
        <w:t>входит хотя бы один жилой дом – 0,1 процента;</w:t>
      </w:r>
    </w:p>
    <w:p w:rsidR="00A67CA3" w:rsidRPr="0056070A" w:rsidRDefault="00A67CA3" w:rsidP="00A67CA3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sz w:val="26"/>
          <w:szCs w:val="26"/>
        </w:rPr>
      </w:pPr>
      <w:r w:rsidRPr="0056070A">
        <w:rPr>
          <w:color w:val="292929"/>
          <w:spacing w:val="4"/>
          <w:sz w:val="26"/>
          <w:szCs w:val="26"/>
        </w:rPr>
        <w:t xml:space="preserve"> 4)</w:t>
      </w:r>
      <w:r w:rsidRPr="00CF7D3A">
        <w:rPr>
          <w:spacing w:val="4"/>
          <w:sz w:val="26"/>
          <w:szCs w:val="26"/>
        </w:rPr>
        <w:t xml:space="preserve"> </w:t>
      </w:r>
      <w:r w:rsidRPr="009877ED">
        <w:rPr>
          <w:spacing w:val="4"/>
          <w:sz w:val="26"/>
          <w:szCs w:val="26"/>
        </w:rPr>
        <w:t>в  отношении  объектов</w:t>
      </w:r>
      <w:r w:rsidRPr="009877ED">
        <w:rPr>
          <w:color w:val="949494"/>
          <w:spacing w:val="4"/>
          <w:sz w:val="26"/>
          <w:szCs w:val="26"/>
        </w:rPr>
        <w:t xml:space="preserve">  </w:t>
      </w:r>
      <w:r w:rsidRPr="009877ED">
        <w:rPr>
          <w:color w:val="292929"/>
          <w:spacing w:val="4"/>
          <w:sz w:val="26"/>
          <w:szCs w:val="26"/>
        </w:rPr>
        <w:t>налогообложения,  включенных в  перечень, определяемый в соответствии с пунктом 7 статьи 378.</w:t>
      </w:r>
      <w:r>
        <w:rPr>
          <w:spacing w:val="4"/>
          <w:sz w:val="26"/>
          <w:szCs w:val="26"/>
        </w:rPr>
        <w:t>2 Налогового к</w:t>
      </w:r>
      <w:r w:rsidRPr="009877ED">
        <w:rPr>
          <w:spacing w:val="4"/>
          <w:sz w:val="26"/>
          <w:szCs w:val="26"/>
        </w:rPr>
        <w:t>одекса РФ,</w:t>
      </w:r>
      <w:r w:rsidRPr="009877ED">
        <w:rPr>
          <w:color w:val="292929"/>
          <w:spacing w:val="4"/>
          <w:sz w:val="26"/>
          <w:szCs w:val="26"/>
        </w:rPr>
        <w:t xml:space="preserve"> </w:t>
      </w:r>
      <w:r w:rsidRPr="009877ED">
        <w:rPr>
          <w:spacing w:val="-2"/>
          <w:sz w:val="26"/>
          <w:szCs w:val="26"/>
        </w:rPr>
        <w:t xml:space="preserve"> </w:t>
      </w:r>
      <w:r w:rsidRPr="009877ED">
        <w:rPr>
          <w:sz w:val="26"/>
          <w:szCs w:val="26"/>
        </w:rPr>
        <w:t xml:space="preserve"> </w:t>
      </w:r>
      <w:r w:rsidRPr="009877ED">
        <w:rPr>
          <w:spacing w:val="4"/>
          <w:sz w:val="26"/>
          <w:szCs w:val="26"/>
        </w:rPr>
        <w:t>в  отношении  объектов</w:t>
      </w:r>
      <w:r w:rsidRPr="009877ED">
        <w:rPr>
          <w:color w:val="949494"/>
          <w:spacing w:val="4"/>
          <w:sz w:val="26"/>
          <w:szCs w:val="26"/>
        </w:rPr>
        <w:t xml:space="preserve">  </w:t>
      </w:r>
      <w:r w:rsidRPr="009877ED">
        <w:rPr>
          <w:color w:val="292929"/>
          <w:spacing w:val="4"/>
          <w:sz w:val="26"/>
          <w:szCs w:val="26"/>
        </w:rPr>
        <w:t xml:space="preserve">налогообложения, предусмотренным абзацем вторым </w:t>
      </w:r>
      <w:r>
        <w:rPr>
          <w:color w:val="292929"/>
          <w:spacing w:val="4"/>
          <w:sz w:val="26"/>
          <w:szCs w:val="26"/>
        </w:rPr>
        <w:t xml:space="preserve">пункта </w:t>
      </w:r>
      <w:r w:rsidRPr="009877ED">
        <w:rPr>
          <w:color w:val="292929"/>
          <w:spacing w:val="4"/>
          <w:sz w:val="26"/>
          <w:szCs w:val="26"/>
        </w:rPr>
        <w:t>10 статьи 378.</w:t>
      </w:r>
      <w:r>
        <w:rPr>
          <w:spacing w:val="4"/>
          <w:sz w:val="26"/>
          <w:szCs w:val="26"/>
        </w:rPr>
        <w:t>2 Налогового к</w:t>
      </w:r>
      <w:r w:rsidRPr="009877ED">
        <w:rPr>
          <w:spacing w:val="4"/>
          <w:sz w:val="26"/>
          <w:szCs w:val="26"/>
        </w:rPr>
        <w:t>одекса РФ, в отношении которых налоговая база определяется, как кадастровая стоимость на соответствующий налоговый период</w:t>
      </w:r>
      <w:r w:rsidRPr="009877ED">
        <w:rPr>
          <w:color w:val="292929"/>
          <w:spacing w:val="4"/>
          <w:sz w:val="26"/>
          <w:szCs w:val="26"/>
        </w:rPr>
        <w:t xml:space="preserve"> </w:t>
      </w:r>
      <w:r w:rsidRPr="009877ED">
        <w:rPr>
          <w:sz w:val="26"/>
          <w:szCs w:val="26"/>
        </w:rPr>
        <w:t>- 2 процента</w:t>
      </w:r>
      <w:r w:rsidRPr="0056070A">
        <w:rPr>
          <w:sz w:val="26"/>
          <w:szCs w:val="26"/>
        </w:rPr>
        <w:t>;</w:t>
      </w:r>
    </w:p>
    <w:p w:rsidR="00A67CA3" w:rsidRPr="0056070A" w:rsidRDefault="00A67CA3" w:rsidP="00A67CA3">
      <w:pPr>
        <w:shd w:val="clear" w:color="auto" w:fill="FFFFFF"/>
        <w:tabs>
          <w:tab w:val="left" w:pos="1166"/>
        </w:tabs>
        <w:spacing w:line="326" w:lineRule="exact"/>
        <w:ind w:left="14" w:firstLine="706"/>
        <w:jc w:val="both"/>
        <w:rPr>
          <w:sz w:val="26"/>
          <w:szCs w:val="26"/>
        </w:rPr>
      </w:pPr>
      <w:r w:rsidRPr="0056070A">
        <w:rPr>
          <w:spacing w:val="-15"/>
          <w:sz w:val="26"/>
          <w:szCs w:val="26"/>
        </w:rPr>
        <w:t>5)</w:t>
      </w:r>
      <w:r w:rsidRPr="0056070A">
        <w:rPr>
          <w:sz w:val="26"/>
          <w:szCs w:val="26"/>
        </w:rPr>
        <w:tab/>
        <w:t>в   отношении   объектов   налогообложения,   кадастровая   стоимость</w:t>
      </w:r>
      <w:r w:rsidRPr="0056070A">
        <w:rPr>
          <w:sz w:val="26"/>
          <w:szCs w:val="26"/>
        </w:rPr>
        <w:br/>
      </w:r>
      <w:r w:rsidRPr="0056070A">
        <w:rPr>
          <w:spacing w:val="1"/>
          <w:sz w:val="26"/>
          <w:szCs w:val="26"/>
        </w:rPr>
        <w:t>каждого из которых превышает 300 миллионов рублей - 2 процента;</w:t>
      </w:r>
    </w:p>
    <w:p w:rsidR="00A67CA3" w:rsidRPr="0056070A" w:rsidRDefault="00A67CA3" w:rsidP="00A67CA3">
      <w:pPr>
        <w:shd w:val="clear" w:color="auto" w:fill="FFFFFF"/>
        <w:tabs>
          <w:tab w:val="left" w:pos="1018"/>
        </w:tabs>
        <w:spacing w:line="326" w:lineRule="exact"/>
        <w:ind w:left="710"/>
        <w:jc w:val="both"/>
        <w:rPr>
          <w:sz w:val="26"/>
          <w:szCs w:val="26"/>
        </w:rPr>
      </w:pPr>
      <w:r w:rsidRPr="0056070A">
        <w:rPr>
          <w:spacing w:val="-11"/>
          <w:sz w:val="26"/>
          <w:szCs w:val="26"/>
        </w:rPr>
        <w:t>6)</w:t>
      </w:r>
      <w:r w:rsidRPr="0056070A">
        <w:rPr>
          <w:sz w:val="26"/>
          <w:szCs w:val="26"/>
        </w:rPr>
        <w:tab/>
      </w:r>
      <w:r w:rsidRPr="0056070A">
        <w:rPr>
          <w:spacing w:val="1"/>
          <w:sz w:val="26"/>
          <w:szCs w:val="26"/>
        </w:rPr>
        <w:t>в отношении прочих объектов налогообложения - 0,5 процента.</w:t>
      </w:r>
    </w:p>
    <w:p w:rsidR="00A67CA3" w:rsidRPr="006E727A" w:rsidRDefault="00A67CA3" w:rsidP="00A67CA3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>
        <w:rPr>
          <w:rFonts w:eastAsiaTheme="minorHAnsi"/>
          <w:color w:val="000000"/>
          <w:sz w:val="25"/>
          <w:szCs w:val="25"/>
          <w:lang w:eastAsia="en-US"/>
        </w:rPr>
        <w:t xml:space="preserve">3. 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Установить налоговые льготы по налогу на имущество физических лиц для следующих категорий налогоплательщиков: </w:t>
      </w:r>
    </w:p>
    <w:p w:rsidR="00A67CA3" w:rsidRPr="004C4981" w:rsidRDefault="00A67CA3" w:rsidP="00A67CA3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- членов многодетных малообеспеченных семей, имеющих трех и более детей, не 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lastRenderedPageBreak/>
        <w:t xml:space="preserve">достигших возраста 18 лет, а также детей из этих семей,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возраста 23 лет. </w:t>
      </w:r>
      <w:r w:rsidRPr="004C4981">
        <w:rPr>
          <w:sz w:val="25"/>
          <w:szCs w:val="25"/>
        </w:rPr>
        <w:t>Основанием для предоставления льготы являются удостоверение многодетного малообеспеченного родителя (опекуна, попечителя); свидетельство о рождении; справка из учебного заведения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; </w:t>
      </w:r>
    </w:p>
    <w:p w:rsidR="00A67CA3" w:rsidRPr="004C4981" w:rsidRDefault="00A67CA3" w:rsidP="00A67CA3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- детей, не достигших возраста 18 лет, а также детей, обучающихся в организациях, осуществляющих образовательную деятельность по очной форме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обучения, до окончания обучения, но не дольше чем до достижения ими возраста 23 лет, находящихся на иждивении родителей-инвалидов </w:t>
      </w:r>
      <w:r w:rsidRPr="004C4981">
        <w:rPr>
          <w:rFonts w:eastAsiaTheme="minorHAnsi"/>
          <w:color w:val="000000"/>
          <w:sz w:val="25"/>
          <w:szCs w:val="25"/>
          <w:lang w:val="en-US" w:eastAsia="en-US"/>
        </w:rPr>
        <w:t>I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 и </w:t>
      </w:r>
      <w:r w:rsidRPr="004C4981">
        <w:rPr>
          <w:rFonts w:eastAsiaTheme="minorHAnsi"/>
          <w:color w:val="000000"/>
          <w:sz w:val="25"/>
          <w:szCs w:val="25"/>
          <w:lang w:val="en-US" w:eastAsia="en-US"/>
        </w:rPr>
        <w:t>II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 групп инвалидности. </w:t>
      </w:r>
      <w:r w:rsidRPr="004C4981">
        <w:rPr>
          <w:sz w:val="25"/>
          <w:szCs w:val="25"/>
        </w:rPr>
        <w:t>Основанием для предоставления льготы являются свидетельство о рождении и  справка из учебного заведения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; </w:t>
      </w:r>
    </w:p>
    <w:p w:rsidR="00A67CA3" w:rsidRPr="004C4981" w:rsidRDefault="00A67CA3" w:rsidP="00A67CA3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>- детей-сирот и детей, оставшихся без попечения родителей, лиц  из числа детей-сирот и детей, оставшихся без попечения родителей, не достигших возраста 18 лет,                        а также обучающихся в организациях, осуществляющих образовательную деятельность по очной форме обучения</w:t>
      </w:r>
      <w:r>
        <w:rPr>
          <w:rFonts w:eastAsiaTheme="minorHAnsi"/>
          <w:color w:val="000000"/>
          <w:sz w:val="25"/>
          <w:szCs w:val="25"/>
          <w:lang w:eastAsia="en-US"/>
        </w:rPr>
        <w:t>,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 до окончания обучения, но не дольше чем до достижения ими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возраста 23 лет. </w:t>
      </w:r>
      <w:r w:rsidRPr="004C4981">
        <w:rPr>
          <w:sz w:val="25"/>
          <w:szCs w:val="25"/>
        </w:rPr>
        <w:t>Основанием для предоставления льготы являются справка-подтверждение о том, что лицо относится к указанной категории, выданн</w:t>
      </w:r>
      <w:r>
        <w:rPr>
          <w:sz w:val="25"/>
          <w:szCs w:val="25"/>
        </w:rPr>
        <w:t>ой</w:t>
      </w:r>
      <w:r w:rsidRPr="004C4981">
        <w:rPr>
          <w:sz w:val="25"/>
          <w:szCs w:val="25"/>
        </w:rPr>
        <w:t xml:space="preserve"> органом опеки и попечительства по месту его учета; справка из учебного заведения.</w:t>
      </w:r>
    </w:p>
    <w:p w:rsidR="00A67CA3" w:rsidRPr="00B20648" w:rsidRDefault="00A67CA3" w:rsidP="00A67CA3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070A">
        <w:rPr>
          <w:sz w:val="26"/>
          <w:szCs w:val="26"/>
        </w:rPr>
        <w:t xml:space="preserve">. Налоговая льгота предоставляется в размере подлежащей уплате </w:t>
      </w:r>
      <w:r w:rsidRPr="00B20648">
        <w:rPr>
          <w:sz w:val="26"/>
          <w:szCs w:val="26"/>
        </w:rPr>
        <w:t xml:space="preserve">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A67CA3" w:rsidRPr="00B20648" w:rsidRDefault="00A67CA3" w:rsidP="00A67CA3">
      <w:pPr>
        <w:widowControl/>
        <w:ind w:firstLine="540"/>
        <w:jc w:val="both"/>
        <w:rPr>
          <w:sz w:val="26"/>
          <w:szCs w:val="26"/>
        </w:rPr>
      </w:pPr>
    </w:p>
    <w:p w:rsidR="00A67CA3" w:rsidRPr="00B20648" w:rsidRDefault="00A67CA3" w:rsidP="00A67CA3">
      <w:pPr>
        <w:shd w:val="clear" w:color="auto" w:fill="FFFFFF"/>
        <w:spacing w:line="326" w:lineRule="exact"/>
        <w:ind w:left="5" w:right="67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</w:t>
      </w:r>
      <w:r w:rsidRPr="00B20648">
        <w:rPr>
          <w:color w:val="000000"/>
          <w:spacing w:val="-3"/>
          <w:sz w:val="26"/>
          <w:szCs w:val="26"/>
        </w:rPr>
        <w:t>5. Признать утратившими силу:</w:t>
      </w:r>
      <w:r w:rsidRPr="00B20648">
        <w:rPr>
          <w:sz w:val="26"/>
          <w:szCs w:val="26"/>
        </w:rPr>
        <w:t xml:space="preserve"> решение Совета депутатов муниципального образования « </w:t>
      </w:r>
      <w:proofErr w:type="spellStart"/>
      <w:r w:rsidRPr="00B20648">
        <w:rPr>
          <w:sz w:val="26"/>
          <w:szCs w:val="26"/>
        </w:rPr>
        <w:t>Подгорновское</w:t>
      </w:r>
      <w:proofErr w:type="spellEnd"/>
      <w:r w:rsidRPr="00B20648">
        <w:rPr>
          <w:sz w:val="26"/>
          <w:szCs w:val="26"/>
        </w:rPr>
        <w:t xml:space="preserve">» от 26.11.2014г. №  102 (в редакции </w:t>
      </w:r>
      <w:r w:rsidRPr="00B20648">
        <w:rPr>
          <w:bCs/>
          <w:color w:val="292929"/>
          <w:spacing w:val="-1"/>
          <w:sz w:val="26"/>
          <w:szCs w:val="26"/>
        </w:rPr>
        <w:t>решений от 13.07.2015 № 138, от 09.10.2015 № 143, от 20.06.2018 №65, от 17.10.2018 № 74)</w:t>
      </w:r>
      <w:r w:rsidRPr="00B20648">
        <w:rPr>
          <w:sz w:val="26"/>
          <w:szCs w:val="26"/>
        </w:rPr>
        <w:t>.</w:t>
      </w:r>
    </w:p>
    <w:p w:rsidR="00A67CA3" w:rsidRDefault="00A67CA3" w:rsidP="00A67CA3">
      <w:pPr>
        <w:pStyle w:val="a4"/>
        <w:jc w:val="both"/>
        <w:rPr>
          <w:sz w:val="26"/>
          <w:szCs w:val="26"/>
        </w:rPr>
      </w:pPr>
    </w:p>
    <w:p w:rsidR="00A67CA3" w:rsidRPr="00B20648" w:rsidRDefault="00A67CA3" w:rsidP="00A67CA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20648">
        <w:rPr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67CA3" w:rsidRDefault="00A67CA3" w:rsidP="00A67CA3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A67CA3" w:rsidRPr="00B20648" w:rsidRDefault="00A67CA3" w:rsidP="00A67CA3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A67CA3" w:rsidRPr="000E2B12" w:rsidRDefault="00A67CA3" w:rsidP="00A67CA3">
      <w:pPr>
        <w:shd w:val="clear" w:color="auto" w:fill="FFFFFF"/>
        <w:rPr>
          <w:sz w:val="24"/>
          <w:szCs w:val="24"/>
        </w:rPr>
      </w:pPr>
      <w:r w:rsidRPr="000E2B12">
        <w:rPr>
          <w:color w:val="000000"/>
          <w:spacing w:val="-3"/>
          <w:sz w:val="24"/>
          <w:szCs w:val="24"/>
        </w:rPr>
        <w:t xml:space="preserve">Глава </w:t>
      </w:r>
      <w:r w:rsidRPr="000E2B12">
        <w:rPr>
          <w:color w:val="000000"/>
          <w:sz w:val="24"/>
          <w:szCs w:val="24"/>
        </w:rPr>
        <w:t xml:space="preserve">МО « </w:t>
      </w:r>
      <w:proofErr w:type="spellStart"/>
      <w:r w:rsidRPr="000E2B12">
        <w:rPr>
          <w:color w:val="000000"/>
          <w:sz w:val="24"/>
          <w:szCs w:val="24"/>
        </w:rPr>
        <w:t>Подгорновское</w:t>
      </w:r>
      <w:proofErr w:type="spellEnd"/>
      <w:r w:rsidRPr="000E2B12">
        <w:rPr>
          <w:color w:val="000000"/>
          <w:sz w:val="24"/>
          <w:szCs w:val="24"/>
        </w:rPr>
        <w:t xml:space="preserve">»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0E2B12">
        <w:rPr>
          <w:color w:val="000000"/>
          <w:sz w:val="24"/>
          <w:szCs w:val="24"/>
        </w:rPr>
        <w:t xml:space="preserve">                           И.М. Сибиряков</w:t>
      </w:r>
    </w:p>
    <w:p w:rsidR="00A67CA3" w:rsidRDefault="00A67CA3" w:rsidP="00A67CA3">
      <w:pPr>
        <w:rPr>
          <w:sz w:val="24"/>
          <w:szCs w:val="24"/>
        </w:rPr>
      </w:pPr>
    </w:p>
    <w:p w:rsidR="00A67CA3" w:rsidRDefault="00A67CA3" w:rsidP="00A67CA3">
      <w:pPr>
        <w:rPr>
          <w:sz w:val="24"/>
          <w:szCs w:val="24"/>
        </w:rPr>
      </w:pPr>
    </w:p>
    <w:p w:rsidR="00A67CA3" w:rsidRPr="000E2B12" w:rsidRDefault="00A67CA3" w:rsidP="00A67CA3">
      <w:pPr>
        <w:rPr>
          <w:sz w:val="24"/>
          <w:szCs w:val="24"/>
        </w:rPr>
      </w:pPr>
      <w:r w:rsidRPr="000E2B12">
        <w:rPr>
          <w:sz w:val="24"/>
          <w:szCs w:val="24"/>
        </w:rPr>
        <w:t>с. Подгорное</w:t>
      </w:r>
      <w:r>
        <w:rPr>
          <w:sz w:val="24"/>
          <w:szCs w:val="24"/>
        </w:rPr>
        <w:t xml:space="preserve">            </w:t>
      </w:r>
    </w:p>
    <w:p w:rsidR="00A67CA3" w:rsidRPr="000E2B12" w:rsidRDefault="00A10B5C" w:rsidP="00A67CA3">
      <w:pPr>
        <w:rPr>
          <w:sz w:val="24"/>
          <w:szCs w:val="24"/>
        </w:rPr>
      </w:pPr>
      <w:r>
        <w:rPr>
          <w:sz w:val="24"/>
          <w:szCs w:val="24"/>
        </w:rPr>
        <w:t xml:space="preserve">18  </w:t>
      </w:r>
      <w:r w:rsidR="00A67CA3">
        <w:rPr>
          <w:sz w:val="24"/>
          <w:szCs w:val="24"/>
        </w:rPr>
        <w:t>о</w:t>
      </w:r>
      <w:r>
        <w:rPr>
          <w:sz w:val="24"/>
          <w:szCs w:val="24"/>
        </w:rPr>
        <w:t>кт</w:t>
      </w:r>
      <w:bookmarkStart w:id="0" w:name="_GoBack"/>
      <w:bookmarkEnd w:id="0"/>
      <w:r w:rsidR="00A67CA3">
        <w:rPr>
          <w:sz w:val="24"/>
          <w:szCs w:val="24"/>
        </w:rPr>
        <w:t>ября 2019</w:t>
      </w:r>
      <w:r w:rsidR="00A67CA3" w:rsidRPr="000E2B12">
        <w:rPr>
          <w:sz w:val="24"/>
          <w:szCs w:val="24"/>
        </w:rPr>
        <w:t xml:space="preserve"> г.</w:t>
      </w:r>
    </w:p>
    <w:p w:rsidR="00A67CA3" w:rsidRDefault="00A67CA3" w:rsidP="00A67CA3">
      <w:r>
        <w:rPr>
          <w:sz w:val="24"/>
          <w:szCs w:val="24"/>
        </w:rPr>
        <w:t>№ 104</w:t>
      </w:r>
    </w:p>
    <w:p w:rsidR="00A67CA3" w:rsidRDefault="00A67CA3" w:rsidP="00A67CA3"/>
    <w:p w:rsidR="00A67CA3" w:rsidRDefault="00A67CA3" w:rsidP="00A67CA3"/>
    <w:p w:rsidR="00A67CA3" w:rsidRDefault="00A67CA3" w:rsidP="00A67CA3"/>
    <w:p w:rsidR="00A67CA3" w:rsidRDefault="00A67CA3" w:rsidP="00A67CA3"/>
    <w:p w:rsidR="007C29C5" w:rsidRDefault="007C29C5" w:rsidP="007719D4">
      <w:pPr>
        <w:shd w:val="clear" w:color="auto" w:fill="FFFFFF"/>
        <w:ind w:right="14"/>
        <w:jc w:val="center"/>
        <w:rPr>
          <w:sz w:val="26"/>
          <w:szCs w:val="26"/>
        </w:rPr>
      </w:pPr>
    </w:p>
    <w:sectPr w:rsidR="007C29C5" w:rsidSect="001A1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5"/>
    <w:rsid w:val="00030D72"/>
    <w:rsid w:val="00100BB6"/>
    <w:rsid w:val="0011324C"/>
    <w:rsid w:val="00430EE6"/>
    <w:rsid w:val="00457DDA"/>
    <w:rsid w:val="00500195"/>
    <w:rsid w:val="0054121D"/>
    <w:rsid w:val="0055593F"/>
    <w:rsid w:val="006E125D"/>
    <w:rsid w:val="007719D4"/>
    <w:rsid w:val="007C29C5"/>
    <w:rsid w:val="008820E2"/>
    <w:rsid w:val="008E3487"/>
    <w:rsid w:val="008F22F5"/>
    <w:rsid w:val="009024EA"/>
    <w:rsid w:val="009063D6"/>
    <w:rsid w:val="009159FB"/>
    <w:rsid w:val="00926530"/>
    <w:rsid w:val="00A10B5C"/>
    <w:rsid w:val="00A67CA3"/>
    <w:rsid w:val="00CF7D3A"/>
    <w:rsid w:val="00D05041"/>
    <w:rsid w:val="00D81A49"/>
    <w:rsid w:val="00E645AA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9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771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7C2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9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771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7C2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2019-11-20T06:03:00Z</cp:lastPrinted>
  <dcterms:created xsi:type="dcterms:W3CDTF">2019-10-16T05:41:00Z</dcterms:created>
  <dcterms:modified xsi:type="dcterms:W3CDTF">2019-11-20T06:03:00Z</dcterms:modified>
</cp:coreProperties>
</file>