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250B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  <w:proofErr w:type="gramEnd"/>
      <w:r w:rsidRPr="00E6250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</w:t>
      </w: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250B"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Подгорновское</w:t>
      </w:r>
      <w:r w:rsidRPr="00E6250B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35 </w:t>
      </w:r>
      <w:r w:rsidRPr="00E6250B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E6250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Pr="00E6250B">
        <w:rPr>
          <w:rFonts w:ascii="Times New Roman" w:hAnsi="Times New Roman" w:cs="Times New Roman"/>
          <w:b/>
          <w:bCs/>
          <w:sz w:val="28"/>
          <w:szCs w:val="28"/>
        </w:rPr>
        <w:t>2017 года</w:t>
      </w: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250B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</w:t>
      </w:r>
      <w:r w:rsidRPr="00E6250B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МО «</w:t>
      </w:r>
      <w:r>
        <w:rPr>
          <w:rFonts w:ascii="Times New Roman" w:hAnsi="Times New Roman" w:cs="Times New Roman"/>
          <w:b/>
          <w:sz w:val="28"/>
          <w:szCs w:val="28"/>
        </w:rPr>
        <w:t>Подгорно</w:t>
      </w:r>
      <w:r w:rsidRPr="00E6250B">
        <w:rPr>
          <w:rFonts w:ascii="Times New Roman" w:hAnsi="Times New Roman" w:cs="Times New Roman"/>
          <w:b/>
          <w:sz w:val="28"/>
          <w:szCs w:val="28"/>
        </w:rPr>
        <w:t>вское» на 2018-2022 годы»</w:t>
      </w: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0B" w:rsidRPr="00E6250B" w:rsidRDefault="00E6250B" w:rsidP="00E6250B">
      <w:pPr>
        <w:keepNext/>
        <w:spacing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250B">
        <w:rPr>
          <w:rFonts w:ascii="Times New Roman" w:hAnsi="Times New Roman" w:cs="Times New Roman"/>
          <w:b/>
          <w:bCs/>
          <w:sz w:val="28"/>
          <w:szCs w:val="28"/>
        </w:rPr>
        <w:t>Срок реализации подпрограммы 2018-2022 годы</w:t>
      </w:r>
    </w:p>
    <w:p w:rsidR="00AD02E3" w:rsidRPr="00E6250B" w:rsidRDefault="00E6250B" w:rsidP="00E6250B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50B">
        <w:rPr>
          <w:rFonts w:ascii="Times New Roman" w:hAnsi="Times New Roman" w:cs="Times New Roman"/>
          <w:b/>
          <w:bCs/>
          <w:sz w:val="28"/>
          <w:szCs w:val="28"/>
        </w:rPr>
        <w:t>Этапы реализации не выделяются</w:t>
      </w:r>
    </w:p>
    <w:p w:rsidR="00AD02E3" w:rsidRPr="00E6250B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02E3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«Формирование современной городской среды на 2018-2022 годы на территории МО «Подгорновское»</w:t>
      </w: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6"/>
          <w:szCs w:val="26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6"/>
          <w:szCs w:val="26"/>
        </w:rPr>
      </w:pPr>
    </w:p>
    <w:p w:rsidR="00AD02E3" w:rsidRDefault="00AD02E3" w:rsidP="003060A2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6"/>
          <w:szCs w:val="26"/>
        </w:rPr>
        <w:tab/>
      </w:r>
    </w:p>
    <w:p w:rsidR="00E6250B" w:rsidRDefault="00E6250B" w:rsidP="003060A2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50B" w:rsidRDefault="00E6250B" w:rsidP="003060A2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50B" w:rsidRDefault="00E6250B" w:rsidP="003060A2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50B" w:rsidRDefault="00E6250B" w:rsidP="003060A2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50B" w:rsidRDefault="00E6250B" w:rsidP="00E6250B">
      <w:pPr>
        <w:tabs>
          <w:tab w:val="left" w:pos="329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с. Подгорное</w:t>
      </w:r>
    </w:p>
    <w:p w:rsidR="00E6250B" w:rsidRPr="00AD02E3" w:rsidRDefault="00E6250B" w:rsidP="00E6250B">
      <w:pPr>
        <w:tabs>
          <w:tab w:val="left" w:pos="329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2017 год</w:t>
      </w:r>
    </w:p>
    <w:p w:rsidR="00244128" w:rsidRPr="00244128" w:rsidRDefault="00244128" w:rsidP="00244128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41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Паспорт муниципальной подпрограммы «Формирование современной городской среды на 2018-2022 годы» на территории муниципального образования «Подгорновское»  Удмуртской Республики на 2018-2022 годы.</w:t>
      </w:r>
    </w:p>
    <w:tbl>
      <w:tblPr>
        <w:tblW w:w="98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7903"/>
      </w:tblGrid>
      <w:tr w:rsidR="00244128" w:rsidRPr="00244128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244128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41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244128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41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на 2018-2022 год»  на территории МО «Подгорновское»</w:t>
            </w:r>
          </w:p>
        </w:tc>
      </w:tr>
      <w:tr w:rsidR="00244128" w:rsidRPr="00AD02E3" w:rsidTr="0083506B">
        <w:trPr>
          <w:trHeight w:val="17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8295F" w:rsidRDefault="00244128" w:rsidP="0083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8295F" w:rsidRDefault="00244128" w:rsidP="0083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5F">
              <w:rPr>
                <w:rFonts w:ascii="Times New Roman" w:hAnsi="Times New Roman" w:cs="Times New Roman"/>
                <w:sz w:val="24"/>
                <w:szCs w:val="24"/>
              </w:rPr>
              <w:t>Постановление РФ № 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44128" w:rsidRPr="00AD02E3" w:rsidTr="0083506B">
        <w:trPr>
          <w:trHeight w:val="39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B7516" w:rsidRDefault="00244128" w:rsidP="0083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6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B7516" w:rsidRDefault="003006D8" w:rsidP="0083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</w:t>
            </w:r>
            <w:r w:rsidR="00244128" w:rsidRPr="00BB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244128" w:rsidRPr="00BB7516">
              <w:rPr>
                <w:rFonts w:ascii="Times New Roman" w:hAnsi="Times New Roman" w:cs="Times New Roman"/>
                <w:sz w:val="24"/>
                <w:szCs w:val="24"/>
              </w:rPr>
              <w:t xml:space="preserve"> - Глава МО «Киясовский район»</w:t>
            </w:r>
          </w:p>
        </w:tc>
      </w:tr>
      <w:tr w:rsidR="00244128" w:rsidRPr="00AD02E3" w:rsidTr="0083506B">
        <w:trPr>
          <w:trHeight w:val="39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B7516" w:rsidRDefault="00244128" w:rsidP="0083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6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B7516" w:rsidRDefault="003006D8" w:rsidP="00835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М.А.Шамшурин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</w:t>
            </w:r>
            <w:r w:rsidR="00244128" w:rsidRPr="00BB7516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«</w:t>
            </w:r>
            <w:proofErr w:type="spellStart"/>
            <w:r w:rsidR="00244128" w:rsidRPr="00BB7516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244128" w:rsidRPr="00BB751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44128" w:rsidRPr="00BB7516">
              <w:rPr>
                <w:rFonts w:ascii="Times New Roman" w:hAnsi="Times New Roman" w:cs="Times New Roman"/>
                <w:bCs/>
                <w:sz w:val="24"/>
                <w:szCs w:val="24"/>
              </w:rPr>
              <w:t>по строительству, ЖКХ и связи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И.М. Сибиряков – Глава МО «Подгорновское»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образование «Подгорновское»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предприниматели.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B8295F" w:rsidRDefault="00244128" w:rsidP="0083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F">
              <w:rPr>
                <w:rFonts w:ascii="Times New Roman" w:hAnsi="Times New Roman" w:cs="Times New Roman"/>
                <w:sz w:val="24"/>
                <w:szCs w:val="24"/>
              </w:rPr>
              <w:t>Целью повышение уровня комфортности жизнедеятельности граждан посредством благоустройства наиболее посещаемых территорий общественного пользования.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Повышение уровня благоустройства общественных территорий (стадиона, детской площадки)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2)Повышение уровня заинтересованности граждан, организаций в реализации мероприятий по благоустройству территорий муниципального образования «Подгорновское » Удмуртской Республики.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(индикаторы) показатели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Количество благоустроенных общественных территорий от общего количества общественных территорий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Количество граждан принявших участие в финансировании реализации мероприятий программы.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Количество граждан, принявших участие в проведении работ по реализации мероприятий программы.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– 2018-2022 годы.</w:t>
            </w:r>
          </w:p>
          <w:p w:rsidR="00244128" w:rsidRPr="00AD02E3" w:rsidRDefault="00244128" w:rsidP="0083506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244128" w:rsidRPr="00AD02E3" w:rsidTr="0083506B">
        <w:trPr>
          <w:trHeight w:val="178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2018-2022 годы за счет средств бюджета составит 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рублей за 1 жителя с. Подгорное (1500 чел.), что составляет ориентировочно 2250</w:t>
            </w: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44128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ресурсном обеспечении программы за счет средств бюджета по годам реализации муниципальной программы (в тыс. руб.):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программы за счет средств бюджета МО «Подгорновское»  и средств бюджета Удмуртской Республики, бюджета Российской Федерации, подлежит уточнению в рамках бюджетного цикла.</w:t>
            </w:r>
          </w:p>
        </w:tc>
      </w:tr>
      <w:tr w:rsidR="00244128" w:rsidRPr="00AD02E3" w:rsidTr="0083506B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направлена на создание комфортной, безопасной и  эстетически привлекательной городской среды.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1) Повышение уровня благоустройства общественных территорий (стадиона, детской площадки).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2)Повышение уровня заинтересованности граждан, организаций, индивидуальных предпринимателей в реализации мероприятий по благоустройству территорий муниципального образования «Подгорновское»  Удмуртской Республики.</w:t>
            </w:r>
          </w:p>
          <w:p w:rsidR="00244128" w:rsidRPr="00AD02E3" w:rsidRDefault="00244128" w:rsidP="0083506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количественной оценки результатов реализации программы предусмотрена система целевых показателей (индикаторов) и их значений.</w:t>
            </w:r>
          </w:p>
        </w:tc>
      </w:tr>
    </w:tbl>
    <w:p w:rsidR="00244128" w:rsidRDefault="00244128" w:rsidP="00244128">
      <w:pPr>
        <w:keepNext/>
        <w:shd w:val="clear" w:color="auto" w:fill="FFFFFF"/>
        <w:tabs>
          <w:tab w:val="left" w:pos="0"/>
        </w:tabs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1.Характеристика текущего состояния сектора благоустройства муниципальном </w:t>
      </w:r>
      <w:proofErr w:type="gramStart"/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«Подгорновское».</w:t>
      </w:r>
    </w:p>
    <w:p w:rsidR="00E6250B" w:rsidRPr="00AD02E3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Сфера реализации программы направлена на создание комфортной, безопасной и  эстетически привлекательной окружающей среды  для проживания граждан, проживающих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Подгорное.</w:t>
      </w:r>
    </w:p>
    <w:p w:rsidR="00E6250B" w:rsidRDefault="00E6250B" w:rsidP="00E6250B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с.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Подгорное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проживает 1524 человека. </w:t>
      </w:r>
      <w:r w:rsidRPr="00021F08">
        <w:rPr>
          <w:rFonts w:ascii="Times New Roman" w:hAnsi="Times New Roman" w:cs="Times New Roman"/>
          <w:sz w:val="24"/>
          <w:szCs w:val="24"/>
        </w:rPr>
        <w:t xml:space="preserve">Площадь населенного пункта -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021F08">
        <w:rPr>
          <w:rFonts w:ascii="Times New Roman" w:hAnsi="Times New Roman" w:cs="Times New Roman"/>
          <w:sz w:val="24"/>
          <w:szCs w:val="24"/>
        </w:rPr>
        <w:t xml:space="preserve"> га, из них индивидуальная жилая застройка и личные подсобные хозяйства граждан занимают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021F08">
        <w:rPr>
          <w:rFonts w:ascii="Times New Roman" w:hAnsi="Times New Roman" w:cs="Times New Roman"/>
          <w:sz w:val="24"/>
          <w:szCs w:val="24"/>
        </w:rPr>
        <w:t xml:space="preserve"> га. 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021F08">
        <w:rPr>
          <w:rFonts w:ascii="Times New Roman" w:hAnsi="Times New Roman" w:cs="Times New Roman"/>
          <w:sz w:val="24"/>
          <w:szCs w:val="24"/>
        </w:rPr>
        <w:t xml:space="preserve"> улиц,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21F08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и около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Pr="00021F08">
        <w:rPr>
          <w:rFonts w:ascii="Times New Roman" w:hAnsi="Times New Roman" w:cs="Times New Roman"/>
          <w:sz w:val="24"/>
          <w:szCs w:val="24"/>
        </w:rPr>
        <w:t xml:space="preserve">домов блокированной застройки. Застройка преимущественно индивидуальная и блокированная </w:t>
      </w:r>
      <w:proofErr w:type="spellStart"/>
      <w:r w:rsidRPr="00021F08">
        <w:rPr>
          <w:rFonts w:ascii="Times New Roman" w:hAnsi="Times New Roman" w:cs="Times New Roman"/>
          <w:sz w:val="24"/>
          <w:szCs w:val="24"/>
        </w:rPr>
        <w:t>низкоэтажная</w:t>
      </w:r>
      <w:proofErr w:type="spellEnd"/>
      <w:r w:rsidRPr="00021F08">
        <w:rPr>
          <w:rFonts w:ascii="Times New Roman" w:hAnsi="Times New Roman" w:cs="Times New Roman"/>
          <w:sz w:val="24"/>
          <w:szCs w:val="24"/>
        </w:rPr>
        <w:t xml:space="preserve">.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селе имеется средняя общеобразовательная школа, в которой обучается 160 детей, детский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сад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который посещает 105 детей. </w:t>
      </w:r>
      <w:r w:rsidRPr="00021F08">
        <w:rPr>
          <w:rFonts w:ascii="Times New Roman" w:hAnsi="Times New Roman" w:cs="Times New Roman"/>
          <w:sz w:val="24"/>
          <w:szCs w:val="24"/>
        </w:rPr>
        <w:t>Ежегодно силами местной администрации, молодежных общественных организаций в селе возводятся малые архитектурные формы - клумбы, цветники, детские площадки.</w:t>
      </w:r>
    </w:p>
    <w:p w:rsidR="00E6250B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селе имеется стадион, на котором проходят уроки физкультуры у школьников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спортивномассовые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праздничные мероприятия для жителей и гостей села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. Проводят спортивные мероприятия для воспитанников детского сада. Проходят спортивные мероприятия местного и районного уровня.</w:t>
      </w:r>
    </w:p>
    <w:p w:rsidR="00E6250B" w:rsidRPr="00AD02E3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территории стадиона не соответствует современным требованиям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(разрушившиеся асфальтобетонное покрытие беговой дорожки, спортивные снаряды, ограждение, подъездные пути и отсутствующие парковочные зоны, рельеф игрового поля нуждается в проведении работ по выравниванию плоскости поля, низкий уровень освещенности объекта)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6250B" w:rsidRPr="00AD02E3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Детских площадок, которые  соответствовали требованиям правил благоустройства МО «Подгорновское» нет. Детские площадки не соответствуют современным требованиям, такие площадки оборудованы жильцами самостоятельно из отработанных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покрышек, деревянных досок и доступных на селе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материалов.</w:t>
      </w: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Программой предполагается трудовое и (или) финансовое участие граждан и иных заинтересованных лиц в реализации мероприятий по благоустройству дворовых территорий.</w:t>
      </w: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Доля финансового участия заинтересованных лиц в выполнении минимального перечня работ по благоустройству общественных территорий не может быть менее 5 % от стоимости мероприятий по благоустройству дворовой среды.</w:t>
      </w: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объекта).</w:t>
      </w: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4128" w:rsidRDefault="00244128" w:rsidP="00244128">
      <w:pPr>
        <w:pStyle w:val="Standard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4128" w:rsidRDefault="00244128" w:rsidP="00244128">
      <w:pPr>
        <w:pStyle w:val="Standard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Сметы на производство работ по благоустройству дворовой территории необходимо составлять с учетом приведенных ниже единичных расценок.</w:t>
      </w:r>
    </w:p>
    <w:p w:rsidR="00244128" w:rsidRDefault="00244128" w:rsidP="00244128">
      <w:pPr>
        <w:pStyle w:val="Standard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5149"/>
        <w:gridCol w:w="1417"/>
        <w:gridCol w:w="1985"/>
      </w:tblGrid>
      <w:tr w:rsidR="00244128" w:rsidTr="0083506B">
        <w:trPr>
          <w:trHeight w:val="510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 и максимальная стоимость работ единицы измерения</w:t>
            </w:r>
          </w:p>
        </w:tc>
      </w:tr>
      <w:tr w:rsidR="00244128" w:rsidTr="0083506B">
        <w:trPr>
          <w:trHeight w:val="9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работ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Ед.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Стоимость за ед. изм., руб.*</w:t>
            </w:r>
          </w:p>
        </w:tc>
      </w:tr>
      <w:tr w:rsidR="00244128" w:rsidTr="0083506B">
        <w:trPr>
          <w:trHeight w:val="360"/>
        </w:trPr>
        <w:tc>
          <w:tcPr>
            <w:tcW w:w="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Проезды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244128" w:rsidTr="0083506B">
        <w:trPr>
          <w:trHeight w:val="6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Розлив битума БНД 60/90 сорт высший на проезжей части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1тн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7" w:anchor="'1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10 946,00</w:t>
              </w:r>
            </w:hyperlink>
          </w:p>
        </w:tc>
      </w:tr>
      <w:tr w:rsidR="00244128" w:rsidTr="0083506B">
        <w:trPr>
          <w:trHeight w:val="81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4 см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8" w:anchor="'2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529 844,00</w:t>
              </w:r>
            </w:hyperlink>
          </w:p>
        </w:tc>
      </w:tr>
      <w:tr w:rsidR="00244128" w:rsidTr="0083506B">
        <w:trPr>
          <w:trHeight w:val="76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5 см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9" w:anchor="'3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650 951,00</w:t>
              </w:r>
            </w:hyperlink>
          </w:p>
        </w:tc>
      </w:tr>
      <w:tr w:rsidR="00244128" w:rsidTr="0083506B">
        <w:trPr>
          <w:trHeight w:val="75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5 см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0" w:anchor="'4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590 598,00</w:t>
              </w:r>
            </w:hyperlink>
          </w:p>
        </w:tc>
      </w:tr>
      <w:tr w:rsidR="00244128" w:rsidTr="0083506B">
        <w:trPr>
          <w:trHeight w:val="69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100т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1" w:anchor="'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546 492,00</w:t>
              </w:r>
            </w:hyperlink>
          </w:p>
        </w:tc>
      </w:tr>
      <w:tr w:rsidR="00244128" w:rsidTr="0083506B">
        <w:trPr>
          <w:trHeight w:val="66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100т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2" w:anchor="'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511 997,00</w:t>
              </w:r>
            </w:hyperlink>
          </w:p>
        </w:tc>
      </w:tr>
      <w:tr w:rsidR="00244128" w:rsidTr="0083506B">
        <w:trPr>
          <w:trHeight w:val="51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песка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3" w:anchor="'7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115 016,00</w:t>
              </w:r>
            </w:hyperlink>
          </w:p>
        </w:tc>
      </w:tr>
      <w:tr w:rsidR="00244128" w:rsidTr="0083506B">
        <w:trPr>
          <w:trHeight w:val="55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а/б крошки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4" w:anchor="'8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54 566,00</w:t>
              </w:r>
            </w:hyperlink>
          </w:p>
        </w:tc>
      </w:tr>
      <w:tr w:rsidR="00244128" w:rsidTr="0083506B">
        <w:trPr>
          <w:trHeight w:val="49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подстилающего слоя из ПГС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обогащенная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5" w:anchor="'9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244 668,00</w:t>
              </w:r>
            </w:hyperlink>
          </w:p>
        </w:tc>
      </w:tr>
      <w:tr w:rsidR="00244128" w:rsidTr="0083506B">
        <w:trPr>
          <w:trHeight w:val="49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подстилающего слоя из ПГС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6" w:anchor="'10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183 890,00</w:t>
              </w:r>
            </w:hyperlink>
          </w:p>
        </w:tc>
      </w:tr>
      <w:tr w:rsidR="00244128" w:rsidTr="0083506B">
        <w:trPr>
          <w:trHeight w:val="69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щебня фр. 40-70, марка 1200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7" w:anchor="'11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418 722,00</w:t>
              </w:r>
            </w:hyperlink>
          </w:p>
        </w:tc>
      </w:tr>
      <w:tr w:rsidR="00244128" w:rsidTr="0083506B">
        <w:trPr>
          <w:trHeight w:val="78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8" w:anchor="'12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146 645,00</w:t>
              </w:r>
            </w:hyperlink>
          </w:p>
        </w:tc>
      </w:tr>
      <w:tr w:rsidR="00244128" w:rsidTr="0083506B">
        <w:trPr>
          <w:trHeight w:val="58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асфальтобетонного покрытия с помощью погрузчика</w:t>
            </w:r>
          </w:p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19" w:anchor="'13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72 277,00</w:t>
              </w:r>
            </w:hyperlink>
          </w:p>
        </w:tc>
      </w:tr>
      <w:tr w:rsidR="00244128" w:rsidTr="0083506B">
        <w:trPr>
          <w:trHeight w:val="49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Земляные работы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128" w:rsidTr="0083506B">
        <w:trPr>
          <w:trHeight w:val="63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грунта с погрузкой и вывозом грунта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0" w:anchor="'14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283 816,00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Планировка земляного полотна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1" w:anchor="'1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1 533,00</w:t>
              </w:r>
            </w:hyperlink>
          </w:p>
        </w:tc>
      </w:tr>
      <w:tr w:rsidR="00244128" w:rsidTr="0083506B">
        <w:trPr>
          <w:trHeight w:val="43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Тротуары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128" w:rsidTr="0083506B">
        <w:trPr>
          <w:trHeight w:val="67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Розлив битума БНД 60/90 сорт высший на тротуаре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1тн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2" w:anchor="'1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10 946,00</w:t>
              </w:r>
            </w:hyperlink>
          </w:p>
        </w:tc>
      </w:tr>
      <w:tr w:rsidR="00244128" w:rsidTr="0083506B">
        <w:trPr>
          <w:trHeight w:val="69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3" w:anchor="'17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42 512,00</w:t>
              </w:r>
            </w:hyperlink>
          </w:p>
        </w:tc>
      </w:tr>
      <w:tr w:rsidR="00244128" w:rsidTr="0083506B">
        <w:trPr>
          <w:trHeight w:val="51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песка под тротуар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4" w:anchor="'18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115 016,00</w:t>
              </w:r>
            </w:hyperlink>
          </w:p>
        </w:tc>
      </w:tr>
      <w:tr w:rsidR="00244128" w:rsidTr="0083506B">
        <w:trPr>
          <w:trHeight w:val="58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выравнивающего слоя из щебня фр. 20-40, марка 1200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5" w:anchor="'19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415 545,00</w:t>
              </w:r>
            </w:hyperlink>
          </w:p>
        </w:tc>
      </w:tr>
      <w:tr w:rsidR="00244128" w:rsidTr="0083506B">
        <w:trPr>
          <w:trHeight w:val="63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6" w:anchor="'20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578 428,00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7" w:anchor="'21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720 407,00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4 см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8" w:anchor="'22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587 844,00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5 см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29" w:anchor="'23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732 205,00</w:t>
              </w:r>
            </w:hyperlink>
          </w:p>
        </w:tc>
      </w:tr>
      <w:tr w:rsidR="00244128" w:rsidTr="0083506B">
        <w:trPr>
          <w:trHeight w:val="67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5 см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0" w:anchor="'24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695 313,00</w:t>
              </w:r>
            </w:hyperlink>
          </w:p>
        </w:tc>
      </w:tr>
      <w:tr w:rsidR="00244128" w:rsidTr="0083506B">
        <w:trPr>
          <w:trHeight w:val="46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Бордюрные камни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128" w:rsidTr="0083506B">
        <w:trPr>
          <w:trHeight w:val="7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1" w:anchor="'2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38 073,00</w:t>
              </w:r>
            </w:hyperlink>
          </w:p>
        </w:tc>
      </w:tr>
      <w:tr w:rsidR="00244128" w:rsidTr="0083506B">
        <w:trPr>
          <w:trHeight w:val="79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2" w:anchor="'2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37 746,00</w:t>
              </w:r>
            </w:hyperlink>
          </w:p>
        </w:tc>
      </w:tr>
      <w:tr w:rsidR="00244128" w:rsidTr="0083506B">
        <w:trPr>
          <w:trHeight w:val="97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3" w:anchor="'27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36 233,00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бортовых камней дорожных БР 80.30.18 (новый камень)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4" w:anchor="'28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116 960,00</w:t>
              </w:r>
            </w:hyperlink>
          </w:p>
        </w:tc>
      </w:tr>
      <w:tr w:rsidR="00244128" w:rsidTr="0083506B">
        <w:trPr>
          <w:trHeight w:val="63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бортовых камней дорожных БР 80.30.15 (новый камень)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5" w:anchor="'29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106 659,00</w:t>
              </w:r>
            </w:hyperlink>
          </w:p>
        </w:tc>
      </w:tr>
      <w:tr w:rsidR="00244128" w:rsidTr="0083506B">
        <w:trPr>
          <w:trHeight w:val="73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6" w:anchor="'30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65 450,00</w:t>
              </w:r>
            </w:hyperlink>
          </w:p>
        </w:tc>
      </w:tr>
      <w:tr w:rsidR="00244128" w:rsidTr="0083506B">
        <w:trPr>
          <w:trHeight w:val="67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7" w:anchor="'31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36 492,00</w:t>
              </w:r>
            </w:hyperlink>
          </w:p>
        </w:tc>
      </w:tr>
      <w:tr w:rsidR="00244128" w:rsidTr="0083506B">
        <w:trPr>
          <w:trHeight w:val="70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8" w:anchor="'32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35 927,00</w:t>
              </w:r>
            </w:hyperlink>
          </w:p>
        </w:tc>
      </w:tr>
      <w:tr w:rsidR="00244128" w:rsidTr="0083506B">
        <w:trPr>
          <w:trHeight w:val="69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бортовых камней тротуарных БР 80.20.8 (новый камень)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39" w:anchor="'33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84 412,00</w:t>
              </w:r>
            </w:hyperlink>
          </w:p>
        </w:tc>
      </w:tr>
      <w:tr w:rsidR="00244128" w:rsidTr="0083506B">
        <w:trPr>
          <w:trHeight w:val="60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п.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0" w:anchor="'34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61 233,00</w:t>
              </w:r>
            </w:hyperlink>
          </w:p>
        </w:tc>
      </w:tr>
      <w:tr w:rsidR="00244128" w:rsidTr="0083506B">
        <w:trPr>
          <w:trHeight w:val="54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Резка бордюра БР100.30.18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1" w:anchor="'3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192,00</w:t>
              </w:r>
            </w:hyperlink>
          </w:p>
        </w:tc>
      </w:tr>
      <w:tr w:rsidR="00244128" w:rsidTr="0083506B">
        <w:trPr>
          <w:trHeight w:val="61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Резка бордюра БР100.30.15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2" w:anchor="'3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138,00</w:t>
              </w:r>
            </w:hyperlink>
          </w:p>
        </w:tc>
      </w:tr>
      <w:tr w:rsidR="00244128" w:rsidTr="0083506B">
        <w:trPr>
          <w:trHeight w:val="66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3" w:anchor="'5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325 140,00</w:t>
              </w:r>
            </w:hyperlink>
          </w:p>
        </w:tc>
      </w:tr>
      <w:tr w:rsidR="00244128" w:rsidTr="0083506B">
        <w:trPr>
          <w:trHeight w:val="7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диам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325 мм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4" w:anchor="'5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3 148 262,00</w:t>
              </w:r>
            </w:hyperlink>
          </w:p>
        </w:tc>
      </w:tr>
      <w:tr w:rsidR="00244128" w:rsidTr="0083506B">
        <w:trPr>
          <w:trHeight w:val="67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диам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426 мм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5" w:anchor="'57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5 422 088,00</w:t>
              </w:r>
            </w:hyperlink>
          </w:p>
        </w:tc>
      </w:tr>
      <w:tr w:rsidR="00244128" w:rsidTr="0083506B">
        <w:trPr>
          <w:trHeight w:val="94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водоотводящего валика из а/б марки II тип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1000пм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6" w:anchor="'58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579 931,00</w:t>
              </w:r>
            </w:hyperlink>
          </w:p>
        </w:tc>
      </w:tr>
      <w:tr w:rsidR="00244128" w:rsidTr="0083506B">
        <w:trPr>
          <w:trHeight w:val="58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Нарезка продольных водоотводных канав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7" w:anchor="'59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24 215,00</w:t>
              </w:r>
            </w:hyperlink>
          </w:p>
        </w:tc>
      </w:tr>
      <w:tr w:rsidR="00244128" w:rsidTr="0083506B">
        <w:trPr>
          <w:trHeight w:val="94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Срезка покрытия методом холодного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фрезирования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1000м2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8" w:anchor="'60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52 097,00</w:t>
              </w:r>
            </w:hyperlink>
          </w:p>
        </w:tc>
      </w:tr>
      <w:tr w:rsidR="00244128" w:rsidTr="0083506B">
        <w:trPr>
          <w:trHeight w:val="63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Разборка бетонных конструкций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49" w:anchor="'65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4 417,00</w:t>
              </w:r>
            </w:hyperlink>
          </w:p>
        </w:tc>
      </w:tr>
      <w:tr w:rsidR="00244128" w:rsidTr="0083506B">
        <w:trPr>
          <w:trHeight w:val="645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металлического ограждения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100пм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50" w:anchor="'66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18 587,00</w:t>
              </w:r>
            </w:hyperlink>
          </w:p>
        </w:tc>
      </w:tr>
      <w:tr w:rsidR="00244128" w:rsidTr="0083506B">
        <w:trPr>
          <w:trHeight w:val="4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металлического ограждения (без стоимости ограждения)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244128" w:rsidP="00835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100пм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128" w:rsidRDefault="003006D8" w:rsidP="0083506B">
            <w:pPr>
              <w:spacing w:after="0" w:line="240" w:lineRule="auto"/>
              <w:jc w:val="center"/>
            </w:pPr>
            <w:hyperlink r:id="rId51" w:anchor="'67'!A1" w:history="1">
              <w:r w:rsidR="00244128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31256,00</w:t>
              </w:r>
            </w:hyperlink>
          </w:p>
        </w:tc>
      </w:tr>
    </w:tbl>
    <w:p w:rsidR="00E6250B" w:rsidRPr="00AD02E3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E6250B" w:rsidP="00E6250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Приоритеты, цели и задачи в сфере деятельности.</w:t>
      </w:r>
    </w:p>
    <w:p w:rsidR="00E6250B" w:rsidRPr="00AD02E3" w:rsidRDefault="00E6250B" w:rsidP="00E625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Вопросы благоустройства территорий населенных пунктов отнесены к полномочиям органов местного самоуправления. В МО «Подгорновское» разработаны и утверждены Правила благоустройства.</w:t>
      </w:r>
    </w:p>
    <w:p w:rsidR="00E6250B" w:rsidRPr="00AD02E3" w:rsidRDefault="00E6250B" w:rsidP="00E625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Правила благоустройства МО «Подгорновское», утверждены решением Совета депутатов МО «Подгорновское» от 3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0.201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7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4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1;</w:t>
      </w:r>
    </w:p>
    <w:p w:rsidR="00E6250B" w:rsidRPr="00AD02E3" w:rsidRDefault="00E6250B" w:rsidP="00E625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При Администрации МО «Киясовский район» создана Решением Президиума Киясовского районного Совета депутатов от 19.05.2015 №140 и функционирует Административная комиссия.</w:t>
      </w:r>
    </w:p>
    <w:p w:rsidR="00E6250B" w:rsidRPr="00AD02E3" w:rsidRDefault="00E6250B" w:rsidP="00E6250B">
      <w:pPr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целях стимулирования населения к повышению уровня благоустроенности территорий населенных пунктов муниципальное образование «Подгорновское» участвовало в республиканском конкурсе «Самый благоустроенный населенный пункт, район города Ижевска» </w:t>
      </w:r>
      <w:r w:rsidRPr="004D62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6240">
        <w:rPr>
          <w:rFonts w:ascii="Times New Roman" w:hAnsi="Times New Roman" w:cs="Times New Roman"/>
          <w:sz w:val="24"/>
          <w:szCs w:val="24"/>
        </w:rPr>
        <w:t xml:space="preserve"> категория поселки и иные населенные пункты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в  2017 году.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4D6240">
        <w:rPr>
          <w:rFonts w:ascii="Times New Roman" w:hAnsi="Times New Roman" w:cs="Times New Roman"/>
          <w:sz w:val="24"/>
          <w:szCs w:val="24"/>
        </w:rPr>
        <w:t>Ежегодно проводится смотр –конкурс на лучшее новогоднее оформление зданий, прилегающих территорий, личных домовладений</w:t>
      </w:r>
      <w:proofErr w:type="gramStart"/>
      <w:r w:rsidRPr="004D624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D6240">
        <w:rPr>
          <w:rFonts w:ascii="Times New Roman" w:hAnsi="Times New Roman" w:cs="Times New Roman"/>
          <w:sz w:val="24"/>
          <w:szCs w:val="24"/>
        </w:rPr>
        <w:t>жегодно проводиться конкурс на самую благоустроенную придомовую территорию.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Ежегодно (весной) администрация МО «Подгорновское» издает постановление о начале работ по санитарной очистке территории района и контролирует ход мероприятий по санитарной очистке территорий района.  В благоустройстве общественных территорий участвую жители с. Подгорное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E6250B" w:rsidRPr="00AD02E3" w:rsidRDefault="00E6250B" w:rsidP="00E6250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AD02E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Приоритетным направлением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организации благоустройства общественных территорий и формировании комфортной городской среды для проживания граждан являются: </w:t>
      </w:r>
    </w:p>
    <w:p w:rsidR="00E6250B" w:rsidRPr="00AD02E3" w:rsidRDefault="00E6250B" w:rsidP="00E6250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- приведение уровня благоустройства общественных территорий к требованиям Правил благоустройства МО «Подгорновское»;</w:t>
      </w:r>
    </w:p>
    <w:p w:rsidR="00E6250B" w:rsidRPr="00AD02E3" w:rsidRDefault="00E6250B" w:rsidP="00E6250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- повышение уровня заинтересованности граждан в благоустройстве общественных территорий, привлечение граждан для участия в реализации мероприятий программы.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2E3">
        <w:rPr>
          <w:rFonts w:ascii="Times New Roman" w:hAnsi="Times New Roman"/>
          <w:sz w:val="24"/>
        </w:rPr>
        <w:t>В рамках полномочий органов местного самоуправления МО «Подгорновское», с учетом направлений стимулирования органов местного самоуправления органами государственной власти Российской Федерации, Удмуртской Республики определены цель и задачи подпрограммы.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комфортной среды для проживания граждан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. Для достижения поставленной цели определены следующие </w:t>
      </w:r>
      <w:r w:rsidRPr="00AD02E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AD02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 Повышение уровня благоустройства общественных территорий (парков, скверов, стадионов, детских площадок);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2) Повышение уровня заинтересованности граждан, организаций в реализации мероприятий по благоустройству территорий муниципального образования «Подгорновское» Удмуртской Республики.</w:t>
      </w: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3.Прогноз ожидаемых результатов реализации программы.</w:t>
      </w:r>
    </w:p>
    <w:p w:rsidR="00E6250B" w:rsidRPr="00AD02E3" w:rsidRDefault="00E6250B" w:rsidP="00E6250B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мероприятий программы предполагается достигнуть уровня благоустройства, соответствующего современным требованиям Правил благоустройства МО «Подгорновское». </w:t>
      </w:r>
    </w:p>
    <w:p w:rsidR="00E6250B" w:rsidRPr="00AD02E3" w:rsidRDefault="00E6250B" w:rsidP="00E6250B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Количество благоустроенных общественных территорий от общего количества  территорий;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2) Количество граждан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организаций различных форм собственности,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финансировании реализации мероприятий программы;</w:t>
      </w:r>
    </w:p>
    <w:p w:rsidR="00E6250B" w:rsidRPr="00AD02E3" w:rsidRDefault="00E6250B" w:rsidP="00E6250B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Количество граждан,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организаций различных форм собственности,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принявших участие в проведении работ по реализации мероприятий программы.</w:t>
      </w:r>
    </w:p>
    <w:p w:rsidR="00E6250B" w:rsidRPr="00AD02E3" w:rsidRDefault="00E6250B" w:rsidP="00E6250B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значениях целевых показателей по годам реализации муниципальной программы представлены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2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4.Сроки и этапы реализации подпрограммы.</w:t>
      </w:r>
    </w:p>
    <w:p w:rsidR="00E6250B" w:rsidRPr="00AD02E3" w:rsidRDefault="00E6250B" w:rsidP="00E6250B">
      <w:pPr>
        <w:keepNext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реализуется в 2018-2022 годы.</w:t>
      </w:r>
    </w:p>
    <w:p w:rsidR="00E6250B" w:rsidRPr="00AD02E3" w:rsidRDefault="00E6250B" w:rsidP="00E6250B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Этапы реализации программы не выделяются.</w:t>
      </w:r>
    </w:p>
    <w:p w:rsidR="00E6250B" w:rsidRPr="00AD02E3" w:rsidRDefault="00E6250B" w:rsidP="00E6250B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5.Объем средств, необходимых на реализацию программы.</w:t>
      </w:r>
    </w:p>
    <w:p w:rsidR="00E6250B" w:rsidRPr="00AD02E3" w:rsidRDefault="00E6250B" w:rsidP="00E6250B">
      <w:pPr>
        <w:keepNext/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Источниками ресурсного обеспечения программы являются средства бюджета, в том числе:</w:t>
      </w:r>
    </w:p>
    <w:p w:rsidR="00E6250B" w:rsidRPr="00AD02E3" w:rsidRDefault="00E6250B" w:rsidP="00E6250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из бюджета Российской Федерации – на реализацию приоритетного проекта «Формирование современной городской среды»;</w:t>
      </w:r>
    </w:p>
    <w:p w:rsidR="00E6250B" w:rsidRPr="00AD02E3" w:rsidRDefault="00E6250B" w:rsidP="00E6250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из бюджета Удмуртской Республики – 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муниципальных территорий общего пользования);</w:t>
      </w:r>
    </w:p>
    <w:p w:rsidR="00E6250B" w:rsidRPr="00AD02E3" w:rsidRDefault="00E6250B" w:rsidP="00E6250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собственные средства бюджета Киясовского района;</w:t>
      </w:r>
    </w:p>
    <w:p w:rsidR="00E6250B" w:rsidRDefault="00E6250B" w:rsidP="00E6250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собственников (физических, юридических лиц, индивидуальных предпринимателей.</w:t>
      </w:r>
      <w:proofErr w:type="gramEnd"/>
    </w:p>
    <w:p w:rsidR="00244128" w:rsidRDefault="00244128" w:rsidP="00244128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128" w:rsidRDefault="00244128" w:rsidP="00244128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128" w:rsidRDefault="00244128" w:rsidP="00244128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128" w:rsidRDefault="00244128" w:rsidP="00244128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4081"/>
        <w:gridCol w:w="916"/>
        <w:gridCol w:w="918"/>
        <w:gridCol w:w="918"/>
        <w:gridCol w:w="916"/>
        <w:gridCol w:w="918"/>
        <w:gridCol w:w="914"/>
      </w:tblGrid>
      <w:tr w:rsidR="00E6250B" w:rsidRPr="006362B3" w:rsidTr="00E6250B">
        <w:trPr>
          <w:trHeight w:val="780"/>
        </w:trPr>
        <w:tc>
          <w:tcPr>
            <w:tcW w:w="2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lastRenderedPageBreak/>
              <w:t>Источник финансирования</w:t>
            </w:r>
          </w:p>
        </w:tc>
        <w:tc>
          <w:tcPr>
            <w:tcW w:w="287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Оценка расходов, тыс. рублей</w:t>
            </w:r>
          </w:p>
        </w:tc>
      </w:tr>
      <w:tr w:rsidR="00E6250B" w:rsidRPr="006362B3" w:rsidTr="00E6250B">
        <w:trPr>
          <w:trHeight w:val="285"/>
        </w:trPr>
        <w:tc>
          <w:tcPr>
            <w:tcW w:w="2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50B" w:rsidRPr="006362B3" w:rsidRDefault="00E6250B" w:rsidP="00E625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E6250B" w:rsidRPr="006362B3" w:rsidTr="00E6250B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right"/>
              <w:rPr>
                <w:b/>
                <w:bCs/>
                <w:sz w:val="16"/>
                <w:szCs w:val="16"/>
              </w:rPr>
            </w:pPr>
            <w:r w:rsidRPr="006362B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6250B" w:rsidRPr="006362B3" w:rsidTr="00E6250B">
        <w:trPr>
          <w:trHeight w:val="393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E6250B" w:rsidRPr="006362B3" w:rsidTr="00E6250B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в том числе: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</w:tr>
      <w:tr w:rsidR="00E6250B" w:rsidRPr="006362B3" w:rsidTr="00E6250B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 xml:space="preserve">     собственные средства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47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E6250B" w:rsidRPr="006362B3" w:rsidTr="00E6250B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 xml:space="preserve">     субсидии из бюджета субъекта Российской Федерации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50B" w:rsidRPr="006362B3" w:rsidTr="00E6250B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 xml:space="preserve">     субсидии из бюджета субъекта Удмуртской Республики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Default="00E6250B" w:rsidP="00E6250B">
            <w:pPr>
              <w:jc w:val="center"/>
            </w:pPr>
            <w:r w:rsidRPr="00A65504">
              <w:rPr>
                <w:sz w:val="16"/>
                <w:szCs w:val="16"/>
              </w:rPr>
              <w:t>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Default="00E6250B" w:rsidP="00E6250B">
            <w:pPr>
              <w:jc w:val="center"/>
            </w:pPr>
            <w:r w:rsidRPr="00A65504">
              <w:rPr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Default="00E6250B" w:rsidP="00E6250B">
            <w:pPr>
              <w:jc w:val="center"/>
            </w:pPr>
            <w:r w:rsidRPr="00A65504">
              <w:rPr>
                <w:sz w:val="16"/>
                <w:szCs w:val="16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Default="00E6250B" w:rsidP="00E6250B">
            <w:pPr>
              <w:jc w:val="center"/>
            </w:pPr>
            <w:r w:rsidRPr="00A65504">
              <w:rPr>
                <w:sz w:val="16"/>
                <w:szCs w:val="16"/>
              </w:rPr>
              <w:t>450</w:t>
            </w:r>
          </w:p>
        </w:tc>
      </w:tr>
      <w:tr w:rsidR="00E6250B" w:rsidRPr="006362B3" w:rsidTr="00E6250B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 xml:space="preserve">     иные межбюджетные трансферты из бюджета субъекта Российской Федерации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</w:tr>
      <w:tr w:rsidR="00E6250B" w:rsidRPr="006362B3" w:rsidTr="00E6250B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</w:p>
        </w:tc>
      </w:tr>
      <w:tr w:rsidR="00E6250B" w:rsidRPr="006362B3" w:rsidTr="00E6250B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rPr>
                <w:sz w:val="16"/>
                <w:szCs w:val="16"/>
              </w:rPr>
            </w:pPr>
            <w:r w:rsidRPr="006362B3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50B" w:rsidRPr="006362B3" w:rsidRDefault="00E6250B" w:rsidP="00E62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</w:tbl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Порядок аккумулирования и расходования денежных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средств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заинтересованных лиц утвержден постановлением Администрации МО «Подгорновское" от 30.08.2017 года «Об утверждении Порядка аккумулирования и расходования денежных средств заинтересованных лиц, направляемых на выполнение перечней работ по благоустройству общественных территорий в рамках реализации муниципальной программы «Формирование современной городской среды на 2018-2022 год».</w:t>
      </w:r>
    </w:p>
    <w:p w:rsidR="00E6250B" w:rsidRPr="00AD02E3" w:rsidRDefault="00E6250B" w:rsidP="00E6250B">
      <w:pPr>
        <w:keepNext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 за счет средств бюджета МО «Подгорновское» Киясовского района сформировано:</w:t>
      </w:r>
    </w:p>
    <w:p w:rsidR="00E6250B" w:rsidRPr="00AD02E3" w:rsidRDefault="00E6250B" w:rsidP="00E6250B">
      <w:pPr>
        <w:suppressLineNumber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на 2017 год и 2018-2019 годы – в соответствии с решением Совета депутатов М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О«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>Подгорновское» от 22.12.2016 года №11 «О бюджете муниципального образования «Подгорновское» на 2017  год и на плановый период 2018 и 2019 годов». Ресурсное обеспечение программы за счет средств бюджета Киясовского района  и средств бюджета Удмуртской Республики, бюджета Российской Федерации подлежит уточнению в рамках бюджетного цикла.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 за счет средств бюджета представлено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5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программе.Прогнозная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5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Взаимодействие с органами государственной власти и местного самоуправления, организациями и гражданами.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осуществляется взаимодействие с органами государственной власти Удмуртской Республики. 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организации  благоустройства общественных территории  района осуществляется взаимодействие с организациями, индивидуальными предпринимателями и жителями района.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муниципальных правовых актов, принятых органами местного самоуправления в сфере благоустройства, осуществляется во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взаимодействии с председателями уличных комитетов, гражданами и общественными организациями.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расходование средств направляемых на реализацию программы создана общественная комиссия, в состав которой включены  представители политических партий, общественных объединений. (Порядок деятельности комисс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ии и ее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утверждены Постановление администрации МО «Подгорновское" от 31.08.2017 года №33 «Об утверждении порядка общественного обсуждения муниципальной программы «Формирование современной городской среды на 2018-2022 годы» на террито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рии МО «Подгорновское»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(муниципального) заказа. 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Для взаимодействия с населением планируются следующие мероприятия:</w:t>
      </w:r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-организация и проведение собраний с жителями  с. Подгорное по поводу готовности  участвовать в благоустройстве общественных территорий.</w:t>
      </w:r>
      <w:proofErr w:type="gramEnd"/>
    </w:p>
    <w:p w:rsidR="00E6250B" w:rsidRPr="00AD02E3" w:rsidRDefault="00E6250B" w:rsidP="00E6250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общественных обсуждений проектов благоустройства общественных территорий на 2018-2022 годы (Порядок общественного обсуждения  дизайн-проекта благоустройства общественной территории МО «Подгорновское</w:t>
      </w:r>
      <w:proofErr w:type="gramEnd"/>
    </w:p>
    <w:p w:rsidR="00E6250B" w:rsidRPr="00AD02E3" w:rsidRDefault="00E6250B" w:rsidP="00E6250B">
      <w:pPr>
        <w:keepNext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 опрос общественного мнения по поводу очередности реализации мероприятий по благоустройству общественных территорий, посредством официального сайта органов местного самоуправления Киясовского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Официальная страница редакции районной газеты «Знамя труда»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Киясово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online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опрос по благоустройству от 25 июля 2017г.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250B" w:rsidRPr="00AD02E3" w:rsidRDefault="00E6250B" w:rsidP="00E6250B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общественного обсуждения проекта подпрограммы «Формирование современной городской среды на 2018-2022 годы» муниципального образования «Подгорновское»;</w:t>
      </w:r>
    </w:p>
    <w:p w:rsidR="00E6250B" w:rsidRPr="00AD02E3" w:rsidRDefault="00E6250B" w:rsidP="00E6250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личный прием граждан по вопросам благоустройства Главой МО «Киясовский район», главой МО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Подгорновское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», заместителем главы Администрации района по строительству, ЖКХ и связи;</w:t>
      </w:r>
    </w:p>
    <w:p w:rsidR="00E6250B" w:rsidRPr="00AD02E3" w:rsidRDefault="00E6250B" w:rsidP="00E6250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прием, рассмотрение письменных обращений граждан, в том числе через Интернет-приемную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рассмотрения обращений граждан принимаются меры реагирования.</w:t>
      </w:r>
    </w:p>
    <w:p w:rsidR="00E6250B" w:rsidRPr="00AD02E3" w:rsidRDefault="00E6250B" w:rsidP="00E6250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Риски и меры по управлению рисками.</w:t>
      </w:r>
    </w:p>
    <w:p w:rsidR="00E6250B" w:rsidRPr="00AD02E3" w:rsidRDefault="00E6250B" w:rsidP="00E6250B">
      <w:pPr>
        <w:keepNext/>
        <w:shd w:val="clear" w:color="auto" w:fill="FFFFFF"/>
        <w:tabs>
          <w:tab w:val="left" w:pos="1276"/>
        </w:tabs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риски.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дств в х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оде реализации мероприятий программы. Для управления риском:</w:t>
      </w:r>
    </w:p>
    <w:p w:rsidR="00E6250B" w:rsidRPr="00AD02E3" w:rsidRDefault="00E6250B" w:rsidP="00E6250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требуемые объемы бюджетного финансирования обосновываются в рамках бюджетного цикла, проводится оценка потребности в выполнении работ;</w:t>
      </w:r>
    </w:p>
    <w:p w:rsidR="00E6250B" w:rsidRPr="00AD02E3" w:rsidRDefault="00E6250B" w:rsidP="00E6250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о бюджете Киясовского района устанавливаются ограничения по авансовым платежам при заключении муниципальных контрактов (договоров); </w:t>
      </w:r>
    </w:p>
    <w:p w:rsidR="00E6250B" w:rsidRPr="00AD02E3" w:rsidRDefault="00E6250B" w:rsidP="00E6250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E6250B" w:rsidRPr="00AD02E3" w:rsidRDefault="00E6250B" w:rsidP="00E6250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E6250B" w:rsidRPr="00AD02E3" w:rsidRDefault="00E6250B" w:rsidP="00E6250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Организационно-управленческие риски.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Данная группа рисков связана с необходимостью вовлечения в процесс санитарной уборки и благоустройства территории района многих участников: организаций различных форм собственности, индивидуальных предпринимателей, жителей района.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данных рисков:</w:t>
      </w:r>
    </w:p>
    <w:p w:rsidR="00E6250B" w:rsidRPr="00AD02E3" w:rsidRDefault="00E6250B" w:rsidP="00E6250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будет осуществляться составление планов работ,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подпрограммы и достижение целевых показателей (индикаторов) программы.</w:t>
      </w:r>
    </w:p>
    <w:p w:rsidR="00E6250B" w:rsidRPr="00AD02E3" w:rsidRDefault="00E6250B" w:rsidP="00E6250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0" w:lineRule="atLeast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риски.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риски связаны с низкой социальной активностью населения, отсутствием массовой культуры участия в работах по благоустройству общественных территорий.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рисков:</w:t>
      </w:r>
    </w:p>
    <w:p w:rsidR="00E6250B" w:rsidRPr="00AD02E3" w:rsidRDefault="00E6250B" w:rsidP="00E6250B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будет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осуществятся  взаимодействие с населением, а именно проводиться собрания жителей, публичное обсуждение проектов благоустройства. Проведены предварительно собрания жителей, с целью изучить их готовность к участию в реализации мероприятий программы.</w:t>
      </w:r>
    </w:p>
    <w:p w:rsidR="00E6250B" w:rsidRPr="00AD02E3" w:rsidRDefault="00E6250B" w:rsidP="00E6250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0" w:lineRule="atLeast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Неблагоприятные погодные условия, природные чрезвычайные ситуации.</w:t>
      </w:r>
    </w:p>
    <w:p w:rsidR="00E6250B" w:rsidRPr="00AD02E3" w:rsidRDefault="00E6250B" w:rsidP="00E625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сохранность и безопасность зеленых насаждений могут повлиять неблагоприятные погодные условия, природные чрезвычайные ситуации, такие как ураганы, аномальные холода и т.п.</w:t>
      </w:r>
    </w:p>
    <w:p w:rsidR="00E6250B" w:rsidRPr="00AD02E3" w:rsidRDefault="00E6250B" w:rsidP="00E6250B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E6250B" w:rsidRPr="00AD02E3" w:rsidRDefault="00E6250B" w:rsidP="00E6250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производится ликвидация аварийных деревьев;</w:t>
      </w:r>
    </w:p>
    <w:p w:rsidR="00E6250B" w:rsidRPr="00AD02E3" w:rsidRDefault="00E6250B" w:rsidP="00E6250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 комплекс мер по подготовке к работе в отопительный период;</w:t>
      </w:r>
    </w:p>
    <w:p w:rsidR="00E6250B" w:rsidRPr="00AD02E3" w:rsidRDefault="00E6250B" w:rsidP="00E6250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E6250B" w:rsidRPr="00AD02E3" w:rsidRDefault="00E6250B" w:rsidP="00E6250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противоаварийные тренировки с целью предотвращения аварийных ситуаций.</w:t>
      </w:r>
    </w:p>
    <w:p w:rsidR="00E6250B" w:rsidRPr="00AD02E3" w:rsidRDefault="00E6250B" w:rsidP="00E6250B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50B" w:rsidRPr="00AD02E3" w:rsidRDefault="00244128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="00E6250B"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.Основные мероприятия подпрограммы.</w:t>
      </w:r>
    </w:p>
    <w:p w:rsidR="00E6250B" w:rsidRPr="00AD02E3" w:rsidRDefault="00E6250B" w:rsidP="00E6250B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осуществлять следующие основные мероприятия: 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244128" w:rsidRPr="00AD02E3" w:rsidTr="00244128">
        <w:tc>
          <w:tcPr>
            <w:tcW w:w="8755" w:type="dxa"/>
            <w:hideMark/>
          </w:tcPr>
          <w:p w:rsidR="00244128" w:rsidRPr="00AD02E3" w:rsidRDefault="00244128" w:rsidP="00E6250B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1.Приведение в соответствие Методическим рекомендациям Минстроя России Правил благоустройства МО «Подгорновское» </w:t>
            </w:r>
          </w:p>
          <w:p w:rsidR="00244128" w:rsidRPr="00AD02E3" w:rsidRDefault="00244128" w:rsidP="00E6250B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ежегодных субботников с участием жителей  </w:t>
            </w:r>
            <w:proofErr w:type="gramStart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. Подгорное.</w:t>
            </w:r>
          </w:p>
          <w:p w:rsidR="00244128" w:rsidRPr="00AD02E3" w:rsidRDefault="00244128" w:rsidP="00E6250B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3.Проведение собраний с жителями </w:t>
            </w:r>
            <w:proofErr w:type="gramStart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. Подгорное.</w:t>
            </w:r>
          </w:p>
        </w:tc>
      </w:tr>
    </w:tbl>
    <w:p w:rsidR="00E6250B" w:rsidRPr="00AD02E3" w:rsidRDefault="00244128" w:rsidP="00E6250B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E6250B" w:rsidRPr="00AD02E3">
        <w:rPr>
          <w:rFonts w:ascii="Times New Roman" w:eastAsia="Calibri" w:hAnsi="Times New Roman" w:cs="Times New Roman"/>
          <w:b/>
          <w:sz w:val="24"/>
          <w:szCs w:val="24"/>
        </w:rPr>
        <w:t>Адресный список общественных территорий подлежащих благоустройству</w:t>
      </w:r>
    </w:p>
    <w:p w:rsidR="00E6250B" w:rsidRPr="00AD02E3" w:rsidRDefault="00E6250B" w:rsidP="00E6250B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В 2018-20022 году планируется осуществить работы по благоустройству следующих общественных территорий:</w:t>
      </w:r>
    </w:p>
    <w:p w:rsidR="00E6250B" w:rsidRPr="00AD02E3" w:rsidRDefault="00E6250B" w:rsidP="00E6250B">
      <w:pPr>
        <w:keepNext/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стадион с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>одгорное, Киясовского района УР.</w:t>
      </w:r>
    </w:p>
    <w:p w:rsidR="00E6250B" w:rsidRPr="00AD02E3" w:rsidRDefault="00E6250B" w:rsidP="00E6250B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На данной общественной территории планируется асфальтированная беговая дорожка 350х4 м.,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AD02E3">
        <w:rPr>
          <w:rFonts w:ascii="Times New Roman" w:eastAsia="Calibri" w:hAnsi="Times New Roman" w:cs="Times New Roman"/>
          <w:sz w:val="24"/>
          <w:szCs w:val="24"/>
        </w:rPr>
        <w:t>осветительные мач</w:t>
      </w:r>
      <w:r>
        <w:rPr>
          <w:rFonts w:ascii="Times New Roman" w:eastAsia="Calibri" w:hAnsi="Times New Roman" w:cs="Times New Roman"/>
          <w:sz w:val="24"/>
          <w:szCs w:val="24"/>
        </w:rPr>
        <w:t>ты высотой 5м., скамейки 10 шт.</w:t>
      </w:r>
      <w:r w:rsidRPr="00AD02E3">
        <w:rPr>
          <w:rFonts w:ascii="Times New Roman" w:eastAsia="Calibri" w:hAnsi="Times New Roman" w:cs="Times New Roman"/>
          <w:sz w:val="24"/>
          <w:szCs w:val="24"/>
        </w:rPr>
        <w:t>, площадка для игры в городки, сц</w:t>
      </w:r>
      <w:r>
        <w:rPr>
          <w:rFonts w:ascii="Times New Roman" w:eastAsia="Calibri" w:hAnsi="Times New Roman" w:cs="Times New Roman"/>
          <w:sz w:val="24"/>
          <w:szCs w:val="24"/>
        </w:rPr>
        <w:t>ена 6х4 м., ландшафтные работы,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детская </w:t>
      </w:r>
      <w:r>
        <w:rPr>
          <w:rFonts w:ascii="Times New Roman" w:eastAsia="Calibri" w:hAnsi="Times New Roman" w:cs="Times New Roman"/>
          <w:sz w:val="24"/>
          <w:szCs w:val="24"/>
        </w:rPr>
        <w:t>игровая п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лощадка, </w:t>
      </w:r>
      <w:r>
        <w:rPr>
          <w:rFonts w:ascii="Times New Roman" w:eastAsia="Calibri" w:hAnsi="Times New Roman" w:cs="Times New Roman"/>
          <w:sz w:val="24"/>
          <w:szCs w:val="24"/>
        </w:rPr>
        <w:t>обустройство ограждения, подъездных путей и парковочных мест.</w:t>
      </w:r>
    </w:p>
    <w:p w:rsidR="00C765DF" w:rsidRDefault="00C765DF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50B" w:rsidRPr="00AD02E3" w:rsidRDefault="00E6250B" w:rsidP="00E6250B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Конечные результаты и оценка эффективности.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направлена на создание комфортной, безопасной и  эстетически привлекательной городской среды.</w:t>
      </w:r>
    </w:p>
    <w:p w:rsidR="00E6250B" w:rsidRPr="00AD02E3" w:rsidRDefault="00E6250B" w:rsidP="00E6250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Повышение уровня благоустройства общественных территорий (стадиона, детской площадки);</w:t>
      </w:r>
    </w:p>
    <w:p w:rsidR="00E6250B" w:rsidRDefault="00E6250B" w:rsidP="00E6250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2)Повышение уровня заинтересованности граждан, организаций, индивидуальных предпринимателей в реализации мероприятий по благоустройству общественных территорий в муниципальном образований «Подгор</w:t>
      </w:r>
      <w:r w:rsidR="00C765DF">
        <w:rPr>
          <w:rFonts w:ascii="Times New Roman" w:eastAsia="Calibri" w:hAnsi="Times New Roman" w:cs="Times New Roman"/>
          <w:sz w:val="24"/>
          <w:szCs w:val="24"/>
          <w:lang w:eastAsia="ru-RU"/>
        </w:rPr>
        <w:t>новское» Удмуртской Республики;</w:t>
      </w:r>
    </w:p>
    <w:p w:rsidR="00C765DF" w:rsidRDefault="00C765DF" w:rsidP="00C765D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765DF">
        <w:rPr>
          <w:rFonts w:ascii="Times New Roman" w:hAnsi="Times New Roman" w:cs="Times New Roman"/>
          <w:bCs/>
          <w:sz w:val="28"/>
          <w:szCs w:val="28"/>
        </w:rPr>
        <w:t xml:space="preserve">величение количества благоустроенных </w:t>
      </w:r>
      <w:r w:rsidRPr="00C765DF">
        <w:rPr>
          <w:rFonts w:ascii="Times New Roman" w:hAnsi="Times New Roman" w:cs="Times New Roman"/>
          <w:sz w:val="28"/>
          <w:szCs w:val="28"/>
        </w:rPr>
        <w:t xml:space="preserve"> территорий общественного пользования </w:t>
      </w:r>
      <w:r w:rsidRPr="00C765DF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</w:t>
      </w:r>
      <w:r w:rsidRPr="00C765DF">
        <w:rPr>
          <w:rFonts w:ascii="Times New Roman" w:hAnsi="Times New Roman" w:cs="Times New Roman"/>
          <w:sz w:val="28"/>
          <w:szCs w:val="28"/>
        </w:rPr>
        <w:t>наиболее посещаемых  общественных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65DF" w:rsidRPr="00C765DF" w:rsidRDefault="00C765DF" w:rsidP="00C765DF">
      <w:pPr>
        <w:jc w:val="both"/>
        <w:rPr>
          <w:rFonts w:ascii="Times New Roman" w:hAnsi="Times New Roman" w:cs="Times New Roman"/>
          <w:sz w:val="28"/>
          <w:szCs w:val="28"/>
        </w:rPr>
      </w:pPr>
      <w:r w:rsidRPr="00C765DF">
        <w:rPr>
          <w:rFonts w:ascii="Times New Roman" w:hAnsi="Times New Roman" w:cs="Times New Roman"/>
          <w:bCs/>
          <w:sz w:val="28"/>
          <w:szCs w:val="28"/>
        </w:rPr>
        <w:t>4) У</w:t>
      </w:r>
      <w:r w:rsidRPr="00C765DF">
        <w:rPr>
          <w:rFonts w:ascii="Times New Roman" w:hAnsi="Times New Roman" w:cs="Times New Roman"/>
          <w:sz w:val="28"/>
          <w:szCs w:val="28"/>
        </w:rPr>
        <w:t>величение объема трудового участия заинтересованных лиц в выполнении  работ п</w:t>
      </w:r>
      <w:r>
        <w:rPr>
          <w:rFonts w:ascii="Times New Roman" w:hAnsi="Times New Roman" w:cs="Times New Roman"/>
          <w:sz w:val="28"/>
          <w:szCs w:val="28"/>
        </w:rPr>
        <w:t>о благоустройству  общественных</w:t>
      </w:r>
      <w:r w:rsidRPr="00C765DF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C765DF" w:rsidRDefault="00C765DF" w:rsidP="00C765DF">
      <w:pPr>
        <w:spacing w:line="360" w:lineRule="auto"/>
        <w:ind w:firstLine="708"/>
        <w:jc w:val="both"/>
        <w:rPr>
          <w:sz w:val="24"/>
          <w:szCs w:val="24"/>
        </w:rPr>
      </w:pPr>
    </w:p>
    <w:p w:rsidR="00C765DF" w:rsidRDefault="00C765DF" w:rsidP="00C765DF">
      <w:pPr>
        <w:spacing w:line="360" w:lineRule="auto"/>
        <w:ind w:firstLine="708"/>
        <w:jc w:val="both"/>
        <w:rPr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295F" w:rsidRDefault="00B8295F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128" w:rsidRDefault="00244128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133C" w:rsidRDefault="0038133C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Default="00AD02E3" w:rsidP="00AD02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F3E" w:rsidRDefault="000A5F3E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32127" w:rsidRPr="00AD02E3" w:rsidRDefault="00D32127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6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 на территории МО «Подгорновское»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Pr="00AD02E3"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  <w:t>аккумулирования и расходования денежных средств заинтересованных лиц, направляемых на выполнение минимального и дополнительного перечней работ по  благоустройству дворовых территорий в рамках осуществления мероприятий муниципальной программы «Формирование современной городской среды на 2018-2022 годы на территории МО «Подгорновское».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Pr="00AD02E3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в рамках осуществления мероприятий муниципальной программы «Формирование современной городской среды на 2018-2022 годы на территории</w:t>
      </w:r>
      <w:proofErr w:type="gramEnd"/>
      <w:r w:rsidRPr="00AD02E3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МО «Подгорновское»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, механизм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расходованием данных средств, а также устанавливает порядок и формы финансового участия граждан в выполнении указанных выше работ.</w:t>
      </w: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и общественной территории, подлежащей благоустройству.</w:t>
      </w: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D0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AD02E3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Pr="00AD0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общественных территорий в размере не менее 10 процентов от общего объема финансирования.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и общественных территорий, в том числе осуществление функций заказчика по выполнению работ, организация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AD02E3" w:rsidRPr="00AD02E3" w:rsidRDefault="00AD02E3" w:rsidP="00AD02E3">
      <w:pPr>
        <w:shd w:val="clear" w:color="auto" w:fill="FFFFFF"/>
        <w:spacing w:after="0" w:afterAutospacing="1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5. Организация трудового участия призвана обеспечить реализацию потребностей в благоустройстве соответствующих дворовых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AD02E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территориях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и целесообразности организации таких работ и осуществляется заинтересованными лицами в соответствии с решением общего собрания дворовая или общественная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подлежит благоустройству, оформленного соответствующим протоколом общего собрания, и не учитывается в объеме средств, финансируемых собственниками.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AD02E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AD02E3">
        <w:rPr>
          <w:rFonts w:ascii="Times New Roman" w:eastAsia="Calibri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и общественных территорий, в которых определяются порядок и сумма перечисления денежных средств заинтересованными лицами.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или общественной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и общественные территории,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</w:t>
      </w: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и общественные территории,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и общественные территории которые подлежат благоустройству, в адрес уполномоченной общественной комиссии.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финансирование минимального перечня работ по благоустройству дворовых и общественных территорий, включенного в дизайн-проект благоустройства дворовой и общественной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финансирование дополнительного перечня работ по благоустройству дворовых и общественных территорий, включенного в дизайн-проект благоустройства дворовой и общественной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дворовые территории и общественные территории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 и общественных территорий, с лицами, которые уполномочены действовать от имени заинтересованных лиц.</w:t>
      </w:r>
      <w:proofErr w:type="gramEnd"/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 и общественных территорий,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5F3E" w:rsidRDefault="000A5F3E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5F3E" w:rsidRDefault="000A5F3E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5F3E" w:rsidRPr="00AD02E3" w:rsidRDefault="000A5F3E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0A5F3E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П</w:t>
      </w:r>
      <w:r w:rsidR="00AD02E3" w:rsidRPr="00AD02E3">
        <w:rPr>
          <w:rFonts w:ascii="Times New Roman" w:eastAsia="Calibri" w:hAnsi="Times New Roman" w:cs="Times New Roman"/>
          <w:sz w:val="16"/>
          <w:szCs w:val="16"/>
        </w:rPr>
        <w:t>риложение 7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 на территории МО «Подгорновское»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Pr="00AD02E3">
        <w:rPr>
          <w:rFonts w:ascii="Times New Roman" w:eastAsia="Calibri" w:hAnsi="Times New Roman" w:cs="Times New Roman"/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 дворовой территории, включенной в муниципальную программу</w:t>
      </w:r>
      <w:r w:rsidRPr="00AD02E3"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  <w:t xml:space="preserve"> «Формирование современной городской среды на 2018-2022год на территории МО «Подгорновское».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numPr>
          <w:ilvl w:val="0"/>
          <w:numId w:val="14"/>
        </w:num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обсуждения и утверждения дизайн – проектов благоустройства дворовых территорий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«Формирование современной городской среды на 2018-2022 годы» на территории МО «Подгорновское».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и общественных территорий.     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Порядка осуществляет Муниципальная Общественная комиссия, созданная постановлением администрации МО «</w:t>
      </w:r>
      <w:r w:rsidR="00E12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Подгорновское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30.06.2017 года № 63 «</w:t>
      </w:r>
      <w:r w:rsidRPr="00AD02E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 создании Общественной комиссии по реализации муниципальной программы «Формирование современной городской среды на 2018-2022 годы на территории МО Подгорновское» и утверждении Положения об её деятельности».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настоящего Порядка используются следующие термины и определения: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Городская среда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Дворовая  территория -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общественноепространство двора,  земельный участок многоквартирного дома, который является объектом благоустройства.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игровая площадка(детская площадка)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благоустройства, площадка функционального назначения.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Заинтересованные лица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тихого отдыха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развитие городской среды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идея, конструктивный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определяет стратегию действий.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Контейнерная площадка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 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Малые архитектурные формы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(памятные) доски и комплексы, стелы, устройства для оформления мобильного и</w:t>
      </w:r>
      <w:r w:rsidRPr="00AD02E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52" w:anchor="3" w:history="1">
        <w:r w:rsidRPr="00AD02E3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вертикального озеленения</w:t>
        </w:r>
      </w:hyperlink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(трельяжи, шпалеры,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цветочницы, вазоны), городская мебель (различные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Общественные пространств</w:t>
      </w:r>
      <w:proofErr w:type="gramStart"/>
      <w:r w:rsidRPr="00AD02E3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AD02E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общего пользования) </w:t>
      </w:r>
      <w:r w:rsidRPr="00AD02E3">
        <w:rPr>
          <w:rFonts w:ascii="Times New Roman" w:eastAsia="Calibri" w:hAnsi="Times New Roman" w:cs="Times New Roman"/>
          <w:sz w:val="28"/>
          <w:szCs w:val="28"/>
        </w:rPr>
        <w:t>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2E3">
        <w:rPr>
          <w:rFonts w:ascii="Times New Roman" w:eastAsia="Calibri" w:hAnsi="Times New Roman" w:cs="Times New Roman"/>
          <w:b/>
          <w:sz w:val="28"/>
          <w:szCs w:val="28"/>
        </w:rPr>
        <w:t>Объекты благоустройства территории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Озеленение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дворовых территорий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Проезд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Парковка автомобилей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для выгула домашних животных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Развитие объекта благоустройства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Субъекты городской среды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площадка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объекта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зонирование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освещение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осветительное оборудование</w:t>
      </w:r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Эскизный проект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–графические материалы,содержащие характеристику объекта. Эскизный проект является частью технического задания для проектирования.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Элементы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AD02E3" w:rsidRPr="00AD02E3" w:rsidRDefault="00AD02E3" w:rsidP="00AD02E3">
      <w:pPr>
        <w:spacing w:after="0" w:line="240" w:lineRule="auto"/>
        <w:ind w:left="555"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 элементам благоустройства территории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относятся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следующие элементы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пешеходные коммуникации (тротуары, дорожки, аллеи, тропинки).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зоны транспортных, инженерных коммуникаций, инженерные коммуникации,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размещения информации и рекламные конструкции;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ограждения (заборы).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объектов капитального строительства;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малые архитектурные формы;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озеленения (массивы, группы,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слитеры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водные устройства (фонтаны, питьевые фонтанчики, бюветы, родники, декоративные водоемы);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инженерной подготовки и защиты территории (подпорные стенки, откосы, земляные насыпи, выемки, открытые лотки, канавы, кюветы,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решетки);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инженерного оборудования (подъемные площадки для инвалидных колясок, смотровые люки, решетки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покрытия (твердые, мягкие, газонные, комбинированные);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некапитальные нестационарные сооружения, выполненные из легких конструкций без заглубленных фундаментов (объекты мелкой розничной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торговли, попутного бытового  обслуживания и питания, остановочные павильоны, наземные туалеты, боксовые гаражи, др.);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бордюры (дорожные, для пешеходных зон);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пандусы.</w:t>
      </w:r>
    </w:p>
    <w:p w:rsidR="00AD02E3" w:rsidRPr="00AD02E3" w:rsidRDefault="00AD02E3" w:rsidP="00AD02E3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разработки, обсуждения с заинтересованными лицами и утверждение дизайн – проектов благоустройства   дворовых  территорий приводится ниже.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2.1.Состав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tbl>
      <w:tblPr>
        <w:tblW w:w="896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53"/>
        <w:gridCol w:w="1843"/>
        <w:gridCol w:w="2126"/>
      </w:tblGrid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листа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листа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Рекомендованный формат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№ Приложения к настоящему Порядку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D32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</w:t>
            </w:r>
            <w:r w:rsidR="00D32127"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общественной </w:t>
            </w: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Функциональное зонирование </w:t>
            </w:r>
            <w:r w:rsidR="00D32127"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</w:t>
            </w: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Дизайн - проект благоустройства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Спецификация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 объемов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02E3" w:rsidRPr="00E12B89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Расчет стоимости работ по единичным расценкам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E12B89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Для подготовки графических материалов листов №1 – 3, рекомендуется подача чертежей в масштабе 1:500 (или 1:400, 1:200) с применением ручной или компьютерной графики. Подготовка пакета документов выполняется с привлечением специализированных организаций.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При подготовке концепции выполняются следующие действия: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проведение визуального осмотра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определение участков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обсуждение возможного зонирования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территории  пользователями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(</w:t>
      </w:r>
      <w:r w:rsidR="00D32127">
        <w:rPr>
          <w:rFonts w:ascii="Times New Roman" w:eastAsia="Calibri" w:hAnsi="Times New Roman" w:cs="Times New Roman"/>
          <w:sz w:val="28"/>
          <w:szCs w:val="28"/>
        </w:rPr>
        <w:t xml:space="preserve">жителями 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разделение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на участки (функциональные зоны) с учетом: пожеланий пользователей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</w:t>
      </w:r>
      <w:r w:rsidR="00D32127">
        <w:rPr>
          <w:rFonts w:ascii="Times New Roman" w:eastAsia="Calibri" w:hAnsi="Times New Roman" w:cs="Times New Roman"/>
          <w:sz w:val="28"/>
          <w:szCs w:val="28"/>
        </w:rPr>
        <w:t>звития объекта благоустройства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1 - Приложение 1 к настоящему Порядку.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</w:t>
      </w:r>
      <w:r w:rsidR="00CE3192">
        <w:rPr>
          <w:rFonts w:ascii="Times New Roman" w:eastAsia="Calibri" w:hAnsi="Times New Roman" w:cs="Times New Roman"/>
          <w:sz w:val="28"/>
          <w:szCs w:val="28"/>
        </w:rPr>
        <w:t>.3. Функциональное зонирование 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 xml:space="preserve"> При подготовке функционального зонирования выполняются следующие действия: 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участков (функциональных зон), их размеры и площади, включая пешеходные коммуникации;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2 - Приложение 2 к настоящему Порядку.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При подготовке проекта выполняются следующие действия: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размеров и площадей функциональных зон, видов покрытий;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3 - Приложение 3 к настоящему Порядку. </w:t>
      </w:r>
    </w:p>
    <w:p w:rsidR="00AD02E3" w:rsidRPr="00AD02E3" w:rsidRDefault="00AD02E3" w:rsidP="00AD02E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Форма спецификации представлена в виде таблицы – Приложение 4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Форма спецификации представлена в виде таблицы – Приложение 5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2.7.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Форма спецификации представлена в виде таблицы – Приложение 6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Общественную комиссию для рассмотрения пакета документов и включения многоквартирного дома в муниципальную программу.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программы, при участии собственников помещений многоквартирного дома.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Концепция общественной территории стадион с.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</w:p>
    <w:p w:rsidR="00AD02E3" w:rsidRPr="00AD02E3" w:rsidRDefault="009245C1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8874" cy="7240014"/>
            <wp:effectExtent l="19050" t="0" r="0" b="0"/>
            <wp:docPr id="1" name="Рисунок 1" descr="https://skr.su/p/big/skr_0509201212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u/p/big/skr_05092012125803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15" cy="723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A5F3E" w:rsidRDefault="000A5F3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A5F3E" w:rsidRDefault="000A5F3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A5F3E" w:rsidRDefault="000A5F3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A5F3E" w:rsidRPr="00AD02E3" w:rsidRDefault="000A5F3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2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Функциональное зонирование общественной территории стадион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Подгорное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Default="008A530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99083" cy="5522026"/>
            <wp:effectExtent l="19050" t="0" r="0" b="0"/>
            <wp:docPr id="5" name="Рисунок 5" descr="F:\Формирование современной городской среды на 2018-2022\МО Подгорновское\функциональное зонирование стадиона села Подгор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рмирование современной городской среды на 2018-2022\МО Подгорновское\функциональное зонирование стадиона села Подгорное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552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0E" w:rsidRDefault="008A530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598"/>
      </w:tblGrid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площадка.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Подходы к подъездам (пешеходные коммуникации, включая пандусы)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Зоны тихого отдыха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Пешеходные коммуникации (тротуары, дорожки, тропинки)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игровая площадка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Парковка автомобилей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комбинированный с лестницей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Ограждения  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освещение (источник света). </w:t>
            </w:r>
          </w:p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применение энергосберегающих светильников</w:t>
            </w:r>
          </w:p>
        </w:tc>
      </w:tr>
      <w:tr w:rsidR="008A530E" w:rsidRPr="00AD02E3" w:rsidTr="008A5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Pr="00AD02E3" w:rsidRDefault="008A530E" w:rsidP="00B70796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Pr="00AD02E3" w:rsidRDefault="008A530E" w:rsidP="00B7079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дорожка</w:t>
            </w:r>
          </w:p>
        </w:tc>
      </w:tr>
    </w:tbl>
    <w:p w:rsidR="008A530E" w:rsidRPr="00AD02E3" w:rsidRDefault="008A530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 стадион с.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3006D8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EA3D46B" wp14:editId="1E190E59">
            <wp:extent cx="5399083" cy="5522026"/>
            <wp:effectExtent l="19050" t="0" r="0" b="0"/>
            <wp:docPr id="2" name="Рисунок 2" descr="F:\Формирование современной городской среды на 2018-2022\МО Подгорновское\функциональное зонирование стадиона села Подгор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рмирование современной городской среды на 2018-2022\МО Подгорновское\функциональное зонирование стадиона села Подгорное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552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СПЕЦИФИКАЦИЯ ЭЛЕМЕНТОВ БЛАГОУСТРОЙСТВА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r w:rsidR="00406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стадион с. </w:t>
      </w:r>
      <w:proofErr w:type="gramStart"/>
      <w:r w:rsidR="00406D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60"/>
        <w:gridCol w:w="2404"/>
        <w:gridCol w:w="2325"/>
      </w:tblGrid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площадка.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406D72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Ограждения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освещение (источник света).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*спецификация составляется на основании проекта благоустройства  – Приложение 3 к Порядку.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0E" w:rsidRDefault="008A530E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D8" w:rsidRPr="00AD02E3" w:rsidRDefault="003006D8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tabs>
          <w:tab w:val="left" w:pos="8530"/>
          <w:tab w:val="right" w:pos="10294"/>
        </w:tabs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AD02E3" w:rsidRPr="00AD02E3" w:rsidRDefault="00AD02E3" w:rsidP="00AD02E3">
      <w:pPr>
        <w:tabs>
          <w:tab w:val="left" w:pos="8530"/>
          <w:tab w:val="right" w:pos="10294"/>
        </w:tabs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СВОДНАЯ ВЕДОМОСТЬ ОБЪЕМОВ РАБОТ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proofErr w:type="gramStart"/>
      <w:r w:rsidR="00406D7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="00406D72">
        <w:rPr>
          <w:rFonts w:ascii="Times New Roman" w:eastAsia="Times New Roman" w:hAnsi="Times New Roman" w:cs="Times New Roman"/>
          <w:sz w:val="20"/>
          <w:szCs w:val="20"/>
        </w:rPr>
        <w:t>тадион</w:t>
      </w:r>
      <w:proofErr w:type="spellEnd"/>
      <w:proofErr w:type="gramEnd"/>
      <w:r w:rsidR="00406D72">
        <w:rPr>
          <w:rFonts w:ascii="Times New Roman" w:eastAsia="Times New Roman" w:hAnsi="Times New Roman" w:cs="Times New Roman"/>
          <w:sz w:val="20"/>
          <w:szCs w:val="20"/>
        </w:rPr>
        <w:t xml:space="preserve"> с. Подгорное</w:t>
      </w: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206"/>
        <w:gridCol w:w="2378"/>
        <w:gridCol w:w="2290"/>
      </w:tblGrid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дорожные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Хозяйственная площадка.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Подходы к </w:t>
            </w:r>
            <w:r w:rsid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стадиону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(пешеходные коммуникации)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тротуарные (или дорожные)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для газонов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низкое высотой от 0,3 до 1,0 м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альпийской горкой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клумбы с декоративным водоемом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Дорожки. 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Дорожки. Плиточное покрытие.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Песчаное покрытие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покрытие – коврик резиновый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46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Качалка на пружине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Качалка – балансир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Качели на одно место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Песчаное покрытие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покрытие – коврик резиновый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Турник двойной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двойной, двухуровневый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баскетбольная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волейбольная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дорожные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Озеленение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газонов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цветников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Рядовая посадка кустарников – живая изгородь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посадка цветущих кустарников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голубой ели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деревьев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лестницы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пандуса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для пандуса, лестницы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барьерное среднее высотой от 1,1 до 1,7 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Ограждения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(или) сочетание декоративное 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ащитное среднее высотой от 1,1 до 1,7 метра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Функциональное освещение (источник света)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rPr>
          <w:trHeight w:val="1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провода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светильников.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1F0808" w:rsidRDefault="001F0808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Беговая дорожка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A5F3E" w:rsidRPr="00AD02E3" w:rsidRDefault="000A5F3E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6</w:t>
      </w: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РАСЧЁТ СТОИМОСТИ РАБОТ ПО ЕДИНИЧНЫМ РАСЦЕНКАМ НА ТЕКУЩИЙ ГОД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r w:rsidR="001F0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Стадион с. </w:t>
      </w:r>
      <w:proofErr w:type="gramStart"/>
      <w:r w:rsidR="001F08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816"/>
        <w:gridCol w:w="850"/>
        <w:gridCol w:w="1134"/>
        <w:gridCol w:w="1276"/>
      </w:tblGrid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за единицу измерения,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работ, тыс. руб. </w:t>
            </w: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горловины смотрового колодца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Хозяйственная площадка.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Подходы к подъездам (пешеходные коммуникации)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пандусов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каркаса из металлической арматуры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Планировка земляного полотна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рукоходадвойного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.8.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Озеленение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цветников с учетом стоимости рассады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каркаса из металлической арматуры </w:t>
            </w: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монолитных лестничных маршей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плиточного покрытия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Ограждения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газонов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пандусов, лестницы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барьерное среднее высотой от 1,1 до 1,7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площадки выгула домашних животных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(или) сочетание декоративное 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ащитное среднее высотой от 1,1 до 1,7 метра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Функциональное освещение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провода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энергосберегающих светильников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AD02E3" w:rsidRDefault="00BE2D04" w:rsidP="00C95F17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1F0808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Беговая дорожка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1F0808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BE2D04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D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BE2D04" w:rsidRPr="00AD02E3" w:rsidRDefault="00BE2D04" w:rsidP="00C95F17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BE2D04" w:rsidRPr="00AD02E3" w:rsidRDefault="00BE2D04" w:rsidP="00C95F17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C95F17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jc w:val="center"/>
        <w:rPr>
          <w:rFonts w:ascii="Calibri" w:eastAsia="Calibri" w:hAnsi="Calibri" w:cs="Calibri"/>
        </w:rPr>
      </w:pPr>
      <w:r w:rsidRPr="00AD02E3">
        <w:rPr>
          <w:rFonts w:ascii="Calibri" w:eastAsia="Calibri" w:hAnsi="Calibri" w:cs="Calibri"/>
        </w:rPr>
        <w:t>__________________________</w:t>
      </w:r>
    </w:p>
    <w:p w:rsidR="00AD02E3" w:rsidRPr="00AD02E3" w:rsidRDefault="00AD02E3" w:rsidP="00AD02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rPr>
          <w:rFonts w:ascii="Calibri" w:eastAsia="Calibri" w:hAnsi="Calibri" w:cs="Calibri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4"/>
          <w:szCs w:val="24"/>
        </w:rPr>
      </w:pPr>
    </w:p>
    <w:p w:rsidR="000A61F7" w:rsidRDefault="000A61F7"/>
    <w:sectPr w:rsidR="000A61F7" w:rsidSect="00AA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E61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94995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E3509"/>
    <w:multiLevelType w:val="hybridMultilevel"/>
    <w:tmpl w:val="D1786F6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7CE2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ECD1D8B"/>
    <w:multiLevelType w:val="multilevel"/>
    <w:tmpl w:val="3BC8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4527A8"/>
    <w:multiLevelType w:val="hybridMultilevel"/>
    <w:tmpl w:val="19508FB6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230"/>
    <w:rsid w:val="00030D1C"/>
    <w:rsid w:val="000A5F3E"/>
    <w:rsid w:val="000A61F7"/>
    <w:rsid w:val="00145C6F"/>
    <w:rsid w:val="001D0844"/>
    <w:rsid w:val="001F0808"/>
    <w:rsid w:val="0020306A"/>
    <w:rsid w:val="00244128"/>
    <w:rsid w:val="003006D8"/>
    <w:rsid w:val="003060A2"/>
    <w:rsid w:val="0038133C"/>
    <w:rsid w:val="00406D72"/>
    <w:rsid w:val="004D6240"/>
    <w:rsid w:val="0083506B"/>
    <w:rsid w:val="008A530E"/>
    <w:rsid w:val="009245C1"/>
    <w:rsid w:val="009C00F9"/>
    <w:rsid w:val="009F2891"/>
    <w:rsid w:val="00A00D91"/>
    <w:rsid w:val="00A36E68"/>
    <w:rsid w:val="00AA588D"/>
    <w:rsid w:val="00AD02E3"/>
    <w:rsid w:val="00B8295F"/>
    <w:rsid w:val="00B92BE1"/>
    <w:rsid w:val="00BE2D04"/>
    <w:rsid w:val="00C5343F"/>
    <w:rsid w:val="00C765DF"/>
    <w:rsid w:val="00C95F17"/>
    <w:rsid w:val="00CE3192"/>
    <w:rsid w:val="00D32127"/>
    <w:rsid w:val="00DC441A"/>
    <w:rsid w:val="00E12B89"/>
    <w:rsid w:val="00E6250B"/>
    <w:rsid w:val="00E8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D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02E3"/>
  </w:style>
  <w:style w:type="character" w:styleId="a3">
    <w:name w:val="Hyperlink"/>
    <w:semiHidden/>
    <w:unhideWhenUsed/>
    <w:rsid w:val="00AD02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D0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D02E3"/>
  </w:style>
  <w:style w:type="paragraph" w:styleId="a7">
    <w:name w:val="Title"/>
    <w:basedOn w:val="a"/>
    <w:link w:val="a8"/>
    <w:qFormat/>
    <w:rsid w:val="00AD02E3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02E3"/>
    <w:pPr>
      <w:spacing w:before="240"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D02E3"/>
    <w:rPr>
      <w:rFonts w:ascii="Calibri" w:eastAsia="Calibri" w:hAnsi="Calibri" w:cs="Times New Roman"/>
      <w:sz w:val="24"/>
      <w:szCs w:val="20"/>
      <w:lang w:eastAsia="ru-RU"/>
    </w:rPr>
  </w:style>
  <w:style w:type="paragraph" w:styleId="ab">
    <w:name w:val="Block Text"/>
    <w:basedOn w:val="a"/>
    <w:unhideWhenUsed/>
    <w:rsid w:val="00AD02E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D02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02E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02E3"/>
    <w:pPr>
      <w:ind w:left="720"/>
      <w:contextualSpacing/>
    </w:pPr>
    <w:rPr>
      <w:rFonts w:ascii="Calibri" w:eastAsia="Calibri" w:hAnsi="Calibri" w:cs="Calibri"/>
    </w:rPr>
  </w:style>
  <w:style w:type="character" w:customStyle="1" w:styleId="af">
    <w:name w:val="Абзац списка Знак"/>
    <w:link w:val="11"/>
    <w:uiPriority w:val="99"/>
    <w:locked/>
    <w:rsid w:val="00AD02E3"/>
    <w:rPr>
      <w:sz w:val="24"/>
      <w:lang w:eastAsia="ru-RU"/>
    </w:rPr>
  </w:style>
  <w:style w:type="paragraph" w:customStyle="1" w:styleId="11">
    <w:name w:val="Абзац списка1"/>
    <w:basedOn w:val="a"/>
    <w:link w:val="af"/>
    <w:uiPriority w:val="99"/>
    <w:rsid w:val="00AD02E3"/>
    <w:pPr>
      <w:spacing w:before="240" w:after="0" w:line="240" w:lineRule="auto"/>
      <w:ind w:left="720"/>
    </w:pPr>
    <w:rPr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AD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D02E3"/>
  </w:style>
  <w:style w:type="table" w:styleId="af1">
    <w:name w:val="Table Grid"/>
    <w:basedOn w:val="a1"/>
    <w:rsid w:val="00AD0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qFormat/>
    <w:rsid w:val="00AD02E3"/>
    <w:rPr>
      <w:b/>
      <w:bCs/>
    </w:rPr>
  </w:style>
  <w:style w:type="character" w:customStyle="1" w:styleId="ConsPlusNormal0">
    <w:name w:val="ConsPlusNormal Знак"/>
    <w:link w:val="ConsPlusNormal"/>
    <w:locked/>
    <w:rsid w:val="00AD02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4412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D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02E3"/>
  </w:style>
  <w:style w:type="character" w:styleId="a3">
    <w:name w:val="Hyperlink"/>
    <w:semiHidden/>
    <w:unhideWhenUsed/>
    <w:rsid w:val="00AD02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D0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D02E3"/>
  </w:style>
  <w:style w:type="paragraph" w:styleId="a7">
    <w:name w:val="Title"/>
    <w:basedOn w:val="a"/>
    <w:link w:val="a8"/>
    <w:qFormat/>
    <w:rsid w:val="00AD02E3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02E3"/>
    <w:pPr>
      <w:spacing w:before="240"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D02E3"/>
    <w:rPr>
      <w:rFonts w:ascii="Calibri" w:eastAsia="Calibri" w:hAnsi="Calibri" w:cs="Times New Roman"/>
      <w:sz w:val="24"/>
      <w:szCs w:val="20"/>
      <w:lang w:eastAsia="ru-RU"/>
    </w:rPr>
  </w:style>
  <w:style w:type="paragraph" w:styleId="ab">
    <w:name w:val="Block Text"/>
    <w:basedOn w:val="a"/>
    <w:unhideWhenUsed/>
    <w:rsid w:val="00AD02E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D02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02E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02E3"/>
    <w:pPr>
      <w:ind w:left="720"/>
      <w:contextualSpacing/>
    </w:pPr>
    <w:rPr>
      <w:rFonts w:ascii="Calibri" w:eastAsia="Calibri" w:hAnsi="Calibri" w:cs="Calibri"/>
    </w:rPr>
  </w:style>
  <w:style w:type="character" w:customStyle="1" w:styleId="af">
    <w:name w:val="Абзац списка Знак"/>
    <w:link w:val="11"/>
    <w:uiPriority w:val="99"/>
    <w:locked/>
    <w:rsid w:val="00AD02E3"/>
    <w:rPr>
      <w:sz w:val="24"/>
      <w:lang w:eastAsia="ru-RU"/>
    </w:rPr>
  </w:style>
  <w:style w:type="paragraph" w:customStyle="1" w:styleId="11">
    <w:name w:val="Абзац списка1"/>
    <w:basedOn w:val="a"/>
    <w:link w:val="af"/>
    <w:uiPriority w:val="99"/>
    <w:rsid w:val="00AD02E3"/>
    <w:pPr>
      <w:spacing w:before="240" w:after="0" w:line="240" w:lineRule="auto"/>
      <w:ind w:left="720"/>
    </w:pPr>
    <w:rPr>
      <w:sz w:val="24"/>
      <w:lang w:eastAsia="ru-RU"/>
    </w:rPr>
  </w:style>
  <w:style w:type="paragraph" w:customStyle="1" w:styleId="ConsPlusNormal">
    <w:name w:val="ConsPlusNormal"/>
    <w:link w:val="ConsPlusNormal0"/>
    <w:rsid w:val="00AD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AD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D02E3"/>
  </w:style>
  <w:style w:type="table" w:styleId="af1">
    <w:name w:val="Table Grid"/>
    <w:basedOn w:val="a1"/>
    <w:rsid w:val="00AD02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qFormat/>
    <w:rsid w:val="00AD02E3"/>
    <w:rPr>
      <w:b/>
      <w:bCs/>
    </w:rPr>
  </w:style>
  <w:style w:type="character" w:customStyle="1" w:styleId="ConsPlusNormal0">
    <w:name w:val="ConsPlusNormal Знак"/>
    <w:link w:val="ConsPlusNormal"/>
    <w:locked/>
    <w:rsid w:val="00AD02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2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http://www.garant.ru/products/ipo/prime/doc/700184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bua\Desktop\&#1040;&#1088;&#1093;&#1080;&#1090;&#1077;&#1082;&#1090;\&#1046;&#1050;&#1061;\&#1060;&#1086;&#1088;&#1084;&#1080;&#1088;&#1086;&#1074;&#1072;&#1085;&#1080;&#1077;%20&#1082;&#1086;&#1084;&#1092;&#1086;&#1088;&#1090;&#1085;&#1086;&#1081;%20&#1075;&#1086;&#1088;&#1086;&#1076;&#1089;&#1082;&#1086;&#1081;%20&#1089;&#1088;&#1077;&#1076;&#1099;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9639-44DB-4D95-9F4E-0C47CEF2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10735</Words>
  <Characters>61194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bua</cp:lastModifiedBy>
  <cp:revision>13</cp:revision>
  <dcterms:created xsi:type="dcterms:W3CDTF">2017-11-01T06:56:00Z</dcterms:created>
  <dcterms:modified xsi:type="dcterms:W3CDTF">2017-12-05T06:07:00Z</dcterms:modified>
</cp:coreProperties>
</file>